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544E" w14:textId="38353026" w:rsidR="00FD1C25" w:rsidRPr="00FD1C25" w:rsidRDefault="00687A4B" w:rsidP="00FD1C25">
      <w:pPr>
        <w:spacing w:after="0" w:line="240" w:lineRule="auto"/>
        <w:jc w:val="righ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VI.</w:t>
      </w:r>
    </w:p>
    <w:p w14:paraId="091014EC" w14:textId="5DD1BD1F" w:rsidR="00FD1C25" w:rsidRPr="00D5375A" w:rsidRDefault="001F030D" w:rsidP="00FD1C25">
      <w:pPr>
        <w:spacing w:after="0" w:line="240" w:lineRule="auto"/>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w:t>
      </w:r>
      <w:r w:rsidR="00FD1C25" w:rsidRPr="00D5375A">
        <w:rPr>
          <w:rFonts w:ascii="Times New Roman" w:eastAsia="Times New Roman" w:hAnsi="Times New Roman" w:cs="Times New Roman"/>
          <w:b/>
          <w:sz w:val="24"/>
          <w:szCs w:val="24"/>
          <w:u w:val="single"/>
          <w:lang w:eastAsia="cs-CZ"/>
        </w:rPr>
        <w:t xml:space="preserve">ypořádání připomínek k materiálu s názvem: </w:t>
      </w:r>
    </w:p>
    <w:p w14:paraId="083DDCBB" w14:textId="77777777" w:rsidR="00687A4B" w:rsidRDefault="00687A4B" w:rsidP="00FD1C25">
      <w:pPr>
        <w:spacing w:after="0" w:line="240" w:lineRule="auto"/>
        <w:jc w:val="both"/>
        <w:rPr>
          <w:rFonts w:ascii="Times New Roman" w:eastAsiaTheme="minorEastAsia" w:hAnsi="Times New Roman" w:cs="Times New Roman"/>
          <w:b/>
          <w:sz w:val="24"/>
          <w:szCs w:val="24"/>
          <w:lang w:eastAsia="cs-CZ"/>
        </w:rPr>
      </w:pPr>
      <w:r w:rsidRPr="00687A4B">
        <w:rPr>
          <w:rFonts w:ascii="Times New Roman" w:eastAsiaTheme="minorEastAsia" w:hAnsi="Times New Roman" w:cs="Times New Roman"/>
          <w:b/>
          <w:sz w:val="24"/>
          <w:szCs w:val="24"/>
          <w:lang w:eastAsia="cs-CZ"/>
        </w:rPr>
        <w:t xml:space="preserve">Návrh zákona, kterým se mění zákon č. 155/1995 Sb., o důchodovém pojištění, ve znění pozdějších předpisů, a některé další zákony </w:t>
      </w:r>
    </w:p>
    <w:p w14:paraId="70C2469E" w14:textId="48499872" w:rsidR="00FD1C25" w:rsidRDefault="00FD1C25" w:rsidP="00FD1C25">
      <w:pPr>
        <w:spacing w:after="0" w:line="240" w:lineRule="auto"/>
        <w:jc w:val="both"/>
        <w:rPr>
          <w:rFonts w:ascii="Times New Roman" w:eastAsia="Times New Roman" w:hAnsi="Times New Roman" w:cs="Times New Roman"/>
          <w:sz w:val="24"/>
          <w:szCs w:val="24"/>
          <w:lang w:eastAsia="cs-CZ"/>
        </w:rPr>
      </w:pPr>
      <w:r w:rsidRPr="00FD1C25">
        <w:rPr>
          <w:rFonts w:ascii="Times New Roman" w:eastAsia="Times New Roman" w:hAnsi="Times New Roman" w:cs="Times New Roman"/>
          <w:sz w:val="24"/>
          <w:szCs w:val="24"/>
          <w:lang w:eastAsia="cs-CZ"/>
        </w:rPr>
        <w:t>Materiál byl rozeslán do meziresortního připomínkového řízení dopisem ministr</w:t>
      </w:r>
      <w:r w:rsidR="00A247A0">
        <w:rPr>
          <w:rFonts w:ascii="Times New Roman" w:eastAsia="Times New Roman" w:hAnsi="Times New Roman" w:cs="Times New Roman"/>
          <w:sz w:val="24"/>
          <w:szCs w:val="24"/>
          <w:lang w:eastAsia="cs-CZ"/>
        </w:rPr>
        <w:t>a</w:t>
      </w:r>
      <w:r w:rsidRPr="00FD1C25">
        <w:rPr>
          <w:rFonts w:ascii="Times New Roman" w:eastAsia="Times New Roman" w:hAnsi="Times New Roman" w:cs="Times New Roman"/>
          <w:sz w:val="24"/>
          <w:szCs w:val="24"/>
          <w:lang w:eastAsia="cs-CZ"/>
        </w:rPr>
        <w:t xml:space="preserve"> práce a sociálních věcí dne </w:t>
      </w:r>
      <w:r w:rsidR="005725C5">
        <w:rPr>
          <w:rFonts w:ascii="Times New Roman" w:eastAsia="Times New Roman" w:hAnsi="Times New Roman" w:cs="Times New Roman"/>
          <w:sz w:val="24"/>
          <w:szCs w:val="24"/>
          <w:lang w:eastAsia="cs-CZ"/>
        </w:rPr>
        <w:t>15. února 2023</w:t>
      </w:r>
      <w:r w:rsidRPr="00FD1C25">
        <w:rPr>
          <w:rFonts w:ascii="Times New Roman" w:eastAsia="Times New Roman" w:hAnsi="Times New Roman" w:cs="Times New Roman"/>
          <w:sz w:val="24"/>
          <w:szCs w:val="24"/>
          <w:lang w:eastAsia="cs-CZ"/>
        </w:rPr>
        <w:t>, s termínem sdělení stanovisek do</w:t>
      </w:r>
      <w:r w:rsidR="00A247A0">
        <w:rPr>
          <w:rFonts w:ascii="Times New Roman" w:eastAsia="Times New Roman" w:hAnsi="Times New Roman" w:cs="Times New Roman"/>
          <w:sz w:val="24"/>
          <w:szCs w:val="24"/>
          <w:lang w:eastAsia="cs-CZ"/>
        </w:rPr>
        <w:t xml:space="preserve"> </w:t>
      </w:r>
      <w:r w:rsidR="005725C5">
        <w:rPr>
          <w:rFonts w:ascii="Times New Roman" w:eastAsia="Times New Roman" w:hAnsi="Times New Roman" w:cs="Times New Roman"/>
          <w:sz w:val="24"/>
          <w:szCs w:val="24"/>
          <w:lang w:eastAsia="cs-CZ"/>
        </w:rPr>
        <w:t>17. února 2023</w:t>
      </w:r>
      <w:r w:rsidRPr="00FD1C25">
        <w:rPr>
          <w:rFonts w:ascii="Times New Roman" w:eastAsia="Times New Roman" w:hAnsi="Times New Roman" w:cs="Times New Roman"/>
          <w:sz w:val="24"/>
          <w:szCs w:val="24"/>
          <w:lang w:eastAsia="cs-CZ"/>
        </w:rPr>
        <w:t>. Vyhodnocení připomínek je uvedeno v následující tabulce:</w:t>
      </w:r>
    </w:p>
    <w:p w14:paraId="15CC7DC4" w14:textId="77777777" w:rsidR="00BC0888" w:rsidRDefault="00BC0888" w:rsidP="00FD1C25">
      <w:pPr>
        <w:spacing w:after="0" w:line="240" w:lineRule="auto"/>
        <w:jc w:val="both"/>
        <w:rPr>
          <w:rFonts w:ascii="Times New Roman" w:eastAsia="Times New Roman" w:hAnsi="Times New Roman" w:cs="Times New Roman"/>
          <w:sz w:val="24"/>
          <w:szCs w:val="24"/>
          <w:lang w:eastAsia="cs-CZ"/>
        </w:rPr>
      </w:pPr>
    </w:p>
    <w:tbl>
      <w:tblPr>
        <w:tblStyle w:val="Mkatabulky"/>
        <w:tblW w:w="5188" w:type="pct"/>
        <w:tblInd w:w="-34" w:type="dxa"/>
        <w:tblLook w:val="04A0" w:firstRow="1" w:lastRow="0" w:firstColumn="1" w:lastColumn="0" w:noHBand="0" w:noVBand="1"/>
      </w:tblPr>
      <w:tblGrid>
        <w:gridCol w:w="2088"/>
        <w:gridCol w:w="1397"/>
        <w:gridCol w:w="6139"/>
        <w:gridCol w:w="4896"/>
      </w:tblGrid>
      <w:tr w:rsidR="00BC0888" w14:paraId="641B6F35" w14:textId="77777777" w:rsidTr="007F118F">
        <w:trPr>
          <w:tblHeader/>
        </w:trPr>
        <w:tc>
          <w:tcPr>
            <w:tcW w:w="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18B30" w14:textId="77777777" w:rsidR="00BC0888" w:rsidRDefault="00BC0888" w:rsidP="00081217">
            <w:pPr>
              <w:rPr>
                <w:rFonts w:ascii="Times New Roman" w:hAnsi="Times New Roman" w:cs="Times New Roman"/>
                <w:b/>
              </w:rPr>
            </w:pPr>
            <w:r>
              <w:rPr>
                <w:rFonts w:ascii="Times New Roman" w:hAnsi="Times New Roman" w:cs="Times New Roman"/>
                <w:b/>
              </w:rPr>
              <w:t>Připomínkové místo</w:t>
            </w:r>
          </w:p>
        </w:tc>
        <w:tc>
          <w:tcPr>
            <w:tcW w:w="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5991E" w14:textId="77777777" w:rsidR="00BC0888" w:rsidRDefault="00BC0888" w:rsidP="00081217">
            <w:pPr>
              <w:rPr>
                <w:rFonts w:ascii="Times New Roman" w:hAnsi="Times New Roman" w:cs="Times New Roman"/>
                <w:b/>
              </w:rPr>
            </w:pPr>
            <w:r>
              <w:rPr>
                <w:rFonts w:ascii="Times New Roman" w:hAnsi="Times New Roman" w:cs="Times New Roman"/>
                <w:b/>
              </w:rPr>
              <w:t>Ustanovení</w:t>
            </w:r>
          </w:p>
        </w:tc>
        <w:tc>
          <w:tcPr>
            <w:tcW w:w="21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FBDDB" w14:textId="77777777" w:rsidR="00BC0888" w:rsidRDefault="00BC0888" w:rsidP="00081217">
            <w:pPr>
              <w:jc w:val="both"/>
              <w:rPr>
                <w:rFonts w:ascii="Times New Roman" w:hAnsi="Times New Roman" w:cs="Times New Roman"/>
                <w:b/>
              </w:rPr>
            </w:pPr>
            <w:r>
              <w:rPr>
                <w:rFonts w:ascii="Times New Roman" w:hAnsi="Times New Roman" w:cs="Times New Roman"/>
                <w:b/>
              </w:rPr>
              <w:t>Připomínky</w:t>
            </w:r>
          </w:p>
        </w:tc>
        <w:tc>
          <w:tcPr>
            <w:tcW w:w="1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36FF9" w14:textId="77777777" w:rsidR="00BC0888" w:rsidRDefault="00BC0888">
            <w:pPr>
              <w:jc w:val="both"/>
              <w:rPr>
                <w:rFonts w:ascii="Times New Roman" w:hAnsi="Times New Roman" w:cs="Times New Roman"/>
                <w:b/>
              </w:rPr>
            </w:pPr>
            <w:r>
              <w:rPr>
                <w:rFonts w:ascii="Times New Roman" w:hAnsi="Times New Roman" w:cs="Times New Roman"/>
                <w:b/>
              </w:rPr>
              <w:t>Vypořádání</w:t>
            </w:r>
          </w:p>
        </w:tc>
      </w:tr>
      <w:tr w:rsidR="00457ED0" w:rsidRPr="00193384" w14:paraId="52E3D655"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B46754C" w14:textId="5D30AFE9" w:rsidR="00457ED0" w:rsidRPr="00841ABE" w:rsidRDefault="0014525E" w:rsidP="00081217">
            <w:pPr>
              <w:pStyle w:val="Bezmezer"/>
              <w:rPr>
                <w:rFonts w:ascii="Times New Roman" w:hAnsi="Times New Roman" w:cs="Times New Roman"/>
                <w:b/>
                <w:bCs/>
              </w:rPr>
            </w:pPr>
            <w:r>
              <w:rPr>
                <w:rFonts w:ascii="Times New Roman" w:hAnsi="Times New Roman" w:cs="Times New Roman"/>
                <w:b/>
                <w:bCs/>
              </w:rPr>
              <w:t>Ministerstvo financí</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190EB097" w14:textId="0D22277C" w:rsidR="00457ED0" w:rsidRPr="00193384" w:rsidRDefault="005E5DCB" w:rsidP="00081217">
            <w:pPr>
              <w:pStyle w:val="Bezmezer"/>
              <w:rPr>
                <w:rFonts w:ascii="Times New Roman" w:hAnsi="Times New Roman" w:cs="Times New Roman"/>
              </w:rPr>
            </w:pPr>
            <w:r>
              <w:rPr>
                <w:rFonts w:ascii="Times New Roman" w:hAnsi="Times New Roman" w:cs="Times New Roman"/>
              </w:rPr>
              <w:t>Obecně</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6C548721" w14:textId="77777777" w:rsidR="0014525E" w:rsidRPr="0014525E" w:rsidRDefault="0014525E" w:rsidP="0014525E">
            <w:pPr>
              <w:pStyle w:val="Bezmezer"/>
              <w:jc w:val="both"/>
              <w:rPr>
                <w:rFonts w:ascii="Times New Roman" w:hAnsi="Times New Roman" w:cs="Times New Roman"/>
                <w:bCs/>
              </w:rPr>
            </w:pPr>
            <w:r w:rsidRPr="0014525E">
              <w:rPr>
                <w:rFonts w:ascii="Times New Roman" w:hAnsi="Times New Roman" w:cs="Times New Roman"/>
                <w:bCs/>
              </w:rPr>
              <w:t>Úvod</w:t>
            </w:r>
          </w:p>
          <w:p w14:paraId="01D0EA8A" w14:textId="77777777" w:rsidR="0014525E" w:rsidRPr="0014525E" w:rsidRDefault="0014525E" w:rsidP="0014525E">
            <w:pPr>
              <w:pStyle w:val="Bezmezer"/>
              <w:jc w:val="both"/>
              <w:rPr>
                <w:rFonts w:ascii="Times New Roman" w:hAnsi="Times New Roman" w:cs="Times New Roman"/>
                <w:bCs/>
              </w:rPr>
            </w:pPr>
            <w:r w:rsidRPr="0014525E">
              <w:rPr>
                <w:rFonts w:ascii="Times New Roman" w:hAnsi="Times New Roman" w:cs="Times New Roman"/>
                <w:bCs/>
              </w:rPr>
              <w:t xml:space="preserve">Ministr práce a sociálních věcí předložil návrh zákona, kterým dochází k úpravě parametrů pro výpočet zvýšení důchodů v mimořádném termínu od června 2023. </w:t>
            </w:r>
          </w:p>
          <w:p w14:paraId="46C252D3" w14:textId="77777777" w:rsidR="0014525E" w:rsidRPr="0014525E" w:rsidRDefault="0014525E" w:rsidP="0014525E">
            <w:pPr>
              <w:pStyle w:val="Bezmezer"/>
              <w:jc w:val="both"/>
              <w:rPr>
                <w:rFonts w:ascii="Times New Roman" w:hAnsi="Times New Roman" w:cs="Times New Roman"/>
                <w:bCs/>
              </w:rPr>
            </w:pPr>
          </w:p>
          <w:p w14:paraId="27F04651" w14:textId="77777777" w:rsidR="0014525E" w:rsidRPr="0014525E" w:rsidRDefault="0014525E" w:rsidP="0014525E">
            <w:pPr>
              <w:pStyle w:val="Bezmezer"/>
              <w:jc w:val="both"/>
              <w:rPr>
                <w:rFonts w:ascii="Times New Roman" w:hAnsi="Times New Roman" w:cs="Times New Roman"/>
                <w:bCs/>
              </w:rPr>
            </w:pPr>
            <w:r w:rsidRPr="0014525E">
              <w:rPr>
                <w:rFonts w:ascii="Times New Roman" w:hAnsi="Times New Roman" w:cs="Times New Roman"/>
                <w:bCs/>
              </w:rPr>
              <w:t xml:space="preserve">Cílem opatření je zmírnit velmi vysoký finanční dopad spojený se zvýšením důchodů v mimořádném termínu. </w:t>
            </w:r>
          </w:p>
          <w:p w14:paraId="47C65DDA" w14:textId="77777777" w:rsidR="0014525E" w:rsidRPr="0014525E" w:rsidRDefault="0014525E" w:rsidP="0014525E">
            <w:pPr>
              <w:pStyle w:val="Bezmezer"/>
              <w:jc w:val="both"/>
              <w:rPr>
                <w:rFonts w:ascii="Times New Roman" w:hAnsi="Times New Roman" w:cs="Times New Roman"/>
                <w:bCs/>
              </w:rPr>
            </w:pPr>
          </w:p>
          <w:p w14:paraId="200B5887" w14:textId="44D45A41" w:rsidR="0014525E" w:rsidRPr="0014525E" w:rsidRDefault="0014525E" w:rsidP="0014525E">
            <w:pPr>
              <w:pStyle w:val="Bezmezer"/>
              <w:jc w:val="both"/>
              <w:rPr>
                <w:rFonts w:ascii="Times New Roman" w:hAnsi="Times New Roman" w:cs="Times New Roman"/>
                <w:bCs/>
              </w:rPr>
            </w:pPr>
            <w:r w:rsidRPr="0014525E">
              <w:rPr>
                <w:rFonts w:ascii="Times New Roman" w:hAnsi="Times New Roman" w:cs="Times New Roman"/>
                <w:bCs/>
              </w:rPr>
              <w:t xml:space="preserve">Navrhuje se kombinované zvýšení procentní výměry důchodu následovně, procentní výměra důchodu se </w:t>
            </w:r>
            <w:proofErr w:type="gramStart"/>
            <w:r w:rsidRPr="0014525E">
              <w:rPr>
                <w:rFonts w:ascii="Times New Roman" w:hAnsi="Times New Roman" w:cs="Times New Roman"/>
                <w:bCs/>
              </w:rPr>
              <w:t>zvýší</w:t>
            </w:r>
            <w:proofErr w:type="gramEnd"/>
            <w:r w:rsidRPr="0014525E">
              <w:rPr>
                <w:rFonts w:ascii="Times New Roman" w:hAnsi="Times New Roman" w:cs="Times New Roman"/>
                <w:bCs/>
              </w:rPr>
              <w:t xml:space="preserve"> pouze o 2,3 % (oproti 11,5</w:t>
            </w:r>
            <w:r w:rsidR="00210783">
              <w:rPr>
                <w:rFonts w:ascii="Times New Roman" w:hAnsi="Times New Roman" w:cs="Times New Roman"/>
                <w:bCs/>
              </w:rPr>
              <w:t xml:space="preserve"> </w:t>
            </w:r>
            <w:r w:rsidRPr="0014525E">
              <w:rPr>
                <w:rFonts w:ascii="Times New Roman" w:hAnsi="Times New Roman" w:cs="Times New Roman"/>
                <w:bCs/>
              </w:rPr>
              <w:t xml:space="preserve">%) a o pevnou část ve výši 400 Kč. Průměrný starobní důchod se od června 2023 </w:t>
            </w:r>
            <w:proofErr w:type="gramStart"/>
            <w:r w:rsidRPr="0014525E">
              <w:rPr>
                <w:rFonts w:ascii="Times New Roman" w:hAnsi="Times New Roman" w:cs="Times New Roman"/>
                <w:bCs/>
              </w:rPr>
              <w:t>zvýší</w:t>
            </w:r>
            <w:proofErr w:type="gramEnd"/>
            <w:r w:rsidRPr="0014525E">
              <w:rPr>
                <w:rFonts w:ascii="Times New Roman" w:hAnsi="Times New Roman" w:cs="Times New Roman"/>
                <w:bCs/>
              </w:rPr>
              <w:t xml:space="preserve"> o cca 760 Kč.</w:t>
            </w:r>
          </w:p>
          <w:p w14:paraId="6E4FEED5" w14:textId="77777777" w:rsidR="0014525E" w:rsidRPr="0014525E" w:rsidRDefault="0014525E" w:rsidP="0014525E">
            <w:pPr>
              <w:pStyle w:val="Bezmezer"/>
              <w:jc w:val="both"/>
              <w:rPr>
                <w:rFonts w:ascii="Times New Roman" w:hAnsi="Times New Roman" w:cs="Times New Roman"/>
                <w:bCs/>
              </w:rPr>
            </w:pPr>
          </w:p>
          <w:p w14:paraId="63994B5F" w14:textId="1CC8BCD1" w:rsidR="00457ED0" w:rsidRPr="0014525E" w:rsidRDefault="0014525E" w:rsidP="00510508">
            <w:pPr>
              <w:pStyle w:val="Bezmezer"/>
              <w:jc w:val="both"/>
              <w:rPr>
                <w:rFonts w:ascii="Times New Roman" w:hAnsi="Times New Roman" w:cs="Times New Roman"/>
                <w:bCs/>
              </w:rPr>
            </w:pPr>
            <w:r w:rsidRPr="0014525E">
              <w:rPr>
                <w:rFonts w:ascii="Times New Roman" w:hAnsi="Times New Roman" w:cs="Times New Roman"/>
                <w:bCs/>
              </w:rPr>
              <w:t xml:space="preserve">Návrh zákona představuje dopad do SR v roce 2023 cca 15,7 mld. Kč. </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0AED7666" w14:textId="2658F533" w:rsidR="007E7A79" w:rsidRPr="00193384" w:rsidRDefault="007E7A79" w:rsidP="00193384">
            <w:pPr>
              <w:pStyle w:val="Bezmezer"/>
              <w:jc w:val="both"/>
              <w:rPr>
                <w:rFonts w:ascii="Times New Roman" w:hAnsi="Times New Roman" w:cs="Times New Roman"/>
              </w:rPr>
            </w:pPr>
          </w:p>
        </w:tc>
      </w:tr>
      <w:tr w:rsidR="00457ED0" w:rsidRPr="00193384" w14:paraId="3917711A"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6C16127" w14:textId="3DE2CF35" w:rsidR="00457ED0" w:rsidRPr="00841ABE" w:rsidRDefault="0014525E" w:rsidP="00081217">
            <w:pPr>
              <w:pStyle w:val="Bezmezer"/>
              <w:rPr>
                <w:rFonts w:ascii="Times New Roman" w:hAnsi="Times New Roman" w:cs="Times New Roman"/>
                <w:b/>
                <w:bCs/>
              </w:rPr>
            </w:pPr>
            <w:r w:rsidRPr="0014525E">
              <w:rPr>
                <w:rFonts w:ascii="Times New Roman" w:hAnsi="Times New Roman" w:cs="Times New Roman"/>
                <w:b/>
                <w:bCs/>
              </w:rPr>
              <w:t>Ministerstvo financí</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73B90CD3" w14:textId="73110C9D" w:rsidR="00457ED0" w:rsidRPr="00193384" w:rsidRDefault="005E5DCB" w:rsidP="00081217">
            <w:pPr>
              <w:pStyle w:val="Bezmezer"/>
              <w:rPr>
                <w:rFonts w:ascii="Times New Roman" w:hAnsi="Times New Roman" w:cs="Times New Roman"/>
              </w:rPr>
            </w:pPr>
            <w:r>
              <w:rPr>
                <w:rFonts w:ascii="Times New Roman" w:hAnsi="Times New Roman" w:cs="Times New Roman"/>
              </w:rPr>
              <w:t>K materiálu</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40A4BA38" w14:textId="768D48F6" w:rsidR="0014525E" w:rsidRPr="0014525E" w:rsidRDefault="0014525E" w:rsidP="00333C8C">
            <w:pPr>
              <w:pStyle w:val="Bezmezer"/>
              <w:jc w:val="both"/>
              <w:rPr>
                <w:rFonts w:ascii="Times New Roman" w:hAnsi="Times New Roman" w:cs="Times New Roman"/>
              </w:rPr>
            </w:pPr>
            <w:r w:rsidRPr="0014525E">
              <w:rPr>
                <w:rFonts w:ascii="Times New Roman" w:hAnsi="Times New Roman" w:cs="Times New Roman"/>
              </w:rPr>
              <w:t>Doporučujeme, aby MPSV v tak zásadních materiálech uvádělo dopad do státního rozpočtu za všechny organizační složky státu, které jsou podle zákona č. 582/1991 Sb., o organizaci a provádění sociálního zabezpečení</w:t>
            </w:r>
            <w:r w:rsidR="00A34D4C">
              <w:rPr>
                <w:rFonts w:ascii="Times New Roman" w:hAnsi="Times New Roman" w:cs="Times New Roman"/>
              </w:rPr>
              <w:t>,</w:t>
            </w:r>
            <w:r w:rsidRPr="0014525E">
              <w:rPr>
                <w:rFonts w:ascii="Times New Roman" w:hAnsi="Times New Roman" w:cs="Times New Roman"/>
              </w:rPr>
              <w:t xml:space="preserve"> orgánem sociálního zabezpečení.  </w:t>
            </w:r>
          </w:p>
          <w:p w14:paraId="1D2DFE01" w14:textId="0C9151EA" w:rsidR="00457ED0" w:rsidRPr="00193384" w:rsidRDefault="00457ED0" w:rsidP="00081217">
            <w:pPr>
              <w:pStyle w:val="Bezmezer"/>
              <w:jc w:val="both"/>
              <w:rPr>
                <w:rFonts w:ascii="Times New Roman" w:hAnsi="Times New Roman" w:cs="Times New Roman"/>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0B27F9BF" w14:textId="77777777" w:rsidR="007E7A79" w:rsidRPr="002F7554" w:rsidRDefault="002F7554" w:rsidP="00193384">
            <w:pPr>
              <w:pStyle w:val="Bezmezer"/>
              <w:jc w:val="both"/>
              <w:rPr>
                <w:rFonts w:ascii="Times New Roman" w:hAnsi="Times New Roman" w:cs="Times New Roman"/>
                <w:b/>
                <w:bCs/>
              </w:rPr>
            </w:pPr>
            <w:r w:rsidRPr="002F7554">
              <w:rPr>
                <w:rFonts w:ascii="Times New Roman" w:hAnsi="Times New Roman" w:cs="Times New Roman"/>
                <w:b/>
                <w:bCs/>
              </w:rPr>
              <w:t>Akceptováno.</w:t>
            </w:r>
          </w:p>
          <w:p w14:paraId="08762FE1" w14:textId="615EFEB7" w:rsidR="002F7554" w:rsidRPr="002F7554" w:rsidRDefault="002F7554" w:rsidP="00193384">
            <w:pPr>
              <w:pStyle w:val="Bezmezer"/>
              <w:jc w:val="both"/>
              <w:rPr>
                <w:rFonts w:ascii="Times New Roman" w:hAnsi="Times New Roman" w:cs="Times New Roman"/>
              </w:rPr>
            </w:pPr>
            <w:r w:rsidRPr="00333C8C">
              <w:rPr>
                <w:rFonts w:ascii="Times New Roman" w:hAnsi="Times New Roman" w:cs="Times New Roman"/>
              </w:rPr>
              <w:t>Důvodová zpráva byla doplněna.</w:t>
            </w:r>
          </w:p>
        </w:tc>
      </w:tr>
      <w:tr w:rsidR="00457ED0" w:rsidRPr="00193384" w14:paraId="78583911"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EA0D12B" w14:textId="74FFAFB3" w:rsidR="00457ED0" w:rsidRPr="00841ABE" w:rsidRDefault="0014525E" w:rsidP="00081217">
            <w:pPr>
              <w:pStyle w:val="Bezmezer"/>
              <w:rPr>
                <w:rFonts w:ascii="Times New Roman" w:hAnsi="Times New Roman" w:cs="Times New Roman"/>
                <w:b/>
                <w:bCs/>
              </w:rPr>
            </w:pPr>
            <w:r>
              <w:rPr>
                <w:rFonts w:ascii="Times New Roman" w:hAnsi="Times New Roman" w:cs="Times New Roman"/>
                <w:b/>
                <w:bCs/>
              </w:rPr>
              <w:t>Ministerstvo financí</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7A855395" w14:textId="03ED22E9" w:rsidR="00457ED0" w:rsidRPr="00193384" w:rsidRDefault="005E5DCB" w:rsidP="00081217">
            <w:pPr>
              <w:pStyle w:val="Bezmezer"/>
              <w:rPr>
                <w:rFonts w:ascii="Times New Roman" w:hAnsi="Times New Roman" w:cs="Times New Roman"/>
              </w:rPr>
            </w:pPr>
            <w:r>
              <w:rPr>
                <w:rFonts w:ascii="Times New Roman" w:hAnsi="Times New Roman" w:cs="Times New Roman"/>
              </w:rPr>
              <w:t>K materiálu</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5F11FEEE" w14:textId="29702442" w:rsidR="0014525E" w:rsidRPr="0014525E" w:rsidRDefault="0014525E" w:rsidP="0014525E">
            <w:pPr>
              <w:pStyle w:val="Bezmezer"/>
              <w:jc w:val="both"/>
              <w:rPr>
                <w:rFonts w:ascii="Times New Roman" w:hAnsi="Times New Roman" w:cs="Times New Roman"/>
                <w:bCs/>
              </w:rPr>
            </w:pPr>
            <w:r w:rsidRPr="0014525E">
              <w:rPr>
                <w:rFonts w:ascii="Times New Roman" w:hAnsi="Times New Roman" w:cs="Times New Roman"/>
                <w:bCs/>
              </w:rPr>
              <w:t xml:space="preserve">Doporučujeme do materiálu uvést, že navrhovaná parametrická změna nebude mít vliv na zákonnou valorizaci od 1. ledna 2024, tedy, že posuzované období pro stanovení růstu cen bude vycházet pouze z období </w:t>
            </w:r>
            <w:proofErr w:type="gramStart"/>
            <w:r w:rsidRPr="0014525E">
              <w:rPr>
                <w:rFonts w:ascii="Times New Roman" w:hAnsi="Times New Roman" w:cs="Times New Roman"/>
                <w:bCs/>
              </w:rPr>
              <w:t>únor – červen</w:t>
            </w:r>
            <w:proofErr w:type="gramEnd"/>
            <w:r w:rsidRPr="0014525E">
              <w:rPr>
                <w:rFonts w:ascii="Times New Roman" w:hAnsi="Times New Roman" w:cs="Times New Roman"/>
                <w:bCs/>
              </w:rPr>
              <w:t xml:space="preserve"> 2023 (za předpokladu, že nedojde k dalšímu mimořádnému zvýšení důchodu), tzn. že navrhované zvýšení procentní výměry pouze o 2,3 % a o pevnou část 400 Kč je </w:t>
            </w:r>
            <w:r w:rsidRPr="0014525E">
              <w:rPr>
                <w:rFonts w:ascii="Times New Roman" w:hAnsi="Times New Roman" w:cs="Times New Roman"/>
                <w:bCs/>
              </w:rPr>
              <w:lastRenderedPageBreak/>
              <w:t xml:space="preserve">náhradou k 11,5 % zvýšení důchodu dle obecně platné právní úpravy ZDP a nebude v budoucnu doměřen rozdíl. </w:t>
            </w:r>
          </w:p>
          <w:p w14:paraId="67E469CC" w14:textId="0F3F13BF" w:rsidR="00C83BD1" w:rsidRPr="00C83BD1" w:rsidRDefault="00C83BD1" w:rsidP="00C83BD1">
            <w:pPr>
              <w:pStyle w:val="Bezmezer"/>
              <w:jc w:val="both"/>
              <w:rPr>
                <w:rFonts w:ascii="Times New Roman" w:hAnsi="Times New Roman" w:cs="Times New Roman"/>
                <w:bCs/>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22675989" w14:textId="77777777" w:rsidR="00ED497F" w:rsidRPr="002F7554" w:rsidRDefault="00ED497F" w:rsidP="00ED497F">
            <w:pPr>
              <w:pStyle w:val="Bezmezer"/>
              <w:jc w:val="both"/>
              <w:rPr>
                <w:rFonts w:ascii="Times New Roman" w:hAnsi="Times New Roman" w:cs="Times New Roman"/>
                <w:b/>
                <w:bCs/>
              </w:rPr>
            </w:pPr>
            <w:r w:rsidRPr="002F7554">
              <w:rPr>
                <w:rFonts w:ascii="Times New Roman" w:hAnsi="Times New Roman" w:cs="Times New Roman"/>
                <w:b/>
                <w:bCs/>
              </w:rPr>
              <w:lastRenderedPageBreak/>
              <w:t>Akceptováno.</w:t>
            </w:r>
          </w:p>
          <w:p w14:paraId="40BB9BE3" w14:textId="71E2AAC4" w:rsidR="007E7A79" w:rsidRPr="00193384" w:rsidRDefault="00ED497F" w:rsidP="00ED497F">
            <w:pPr>
              <w:pStyle w:val="Bezmezer"/>
              <w:jc w:val="both"/>
              <w:rPr>
                <w:rFonts w:ascii="Times New Roman" w:hAnsi="Times New Roman" w:cs="Times New Roman"/>
              </w:rPr>
            </w:pPr>
            <w:r w:rsidRPr="002F7554">
              <w:rPr>
                <w:rFonts w:ascii="Times New Roman" w:hAnsi="Times New Roman" w:cs="Times New Roman"/>
              </w:rPr>
              <w:t>Důvodová zpráva byla doplněna.</w:t>
            </w:r>
          </w:p>
        </w:tc>
      </w:tr>
      <w:tr w:rsidR="00EF4065" w:rsidRPr="00193384" w14:paraId="7990F09E"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B9226B4" w14:textId="712749C9" w:rsidR="00EF4065" w:rsidRPr="00841ABE" w:rsidRDefault="00557CB5" w:rsidP="00081217">
            <w:pPr>
              <w:pStyle w:val="Bezmezer"/>
              <w:rPr>
                <w:rFonts w:ascii="Times New Roman" w:hAnsi="Times New Roman" w:cs="Times New Roman"/>
                <w:b/>
                <w:bCs/>
              </w:rPr>
            </w:pPr>
            <w:r>
              <w:rPr>
                <w:rFonts w:ascii="Times New Roman" w:hAnsi="Times New Roman" w:cs="Times New Roman"/>
                <w:b/>
                <w:bCs/>
              </w:rPr>
              <w:t>Ministerstvo financí</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60E3A606" w14:textId="14F15599" w:rsidR="00EF4065" w:rsidRPr="00193384" w:rsidRDefault="005E5DCB" w:rsidP="00081217">
            <w:pPr>
              <w:pStyle w:val="Bezmezer"/>
              <w:rPr>
                <w:rFonts w:ascii="Times New Roman" w:hAnsi="Times New Roman" w:cs="Times New Roman"/>
              </w:rPr>
            </w:pPr>
            <w:r>
              <w:rPr>
                <w:rFonts w:ascii="Times New Roman" w:hAnsi="Times New Roman" w:cs="Times New Roman"/>
              </w:rPr>
              <w:t>K materiálu</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4C91A15F" w14:textId="77777777" w:rsidR="00557CB5" w:rsidRPr="00557CB5" w:rsidRDefault="00557CB5" w:rsidP="00557CB5">
            <w:pPr>
              <w:pStyle w:val="Bezmezer"/>
              <w:jc w:val="both"/>
              <w:rPr>
                <w:rFonts w:ascii="Times New Roman" w:hAnsi="Times New Roman" w:cs="Times New Roman"/>
              </w:rPr>
            </w:pPr>
            <w:r w:rsidRPr="00557CB5">
              <w:rPr>
                <w:rFonts w:ascii="Times New Roman" w:hAnsi="Times New Roman" w:cs="Times New Roman"/>
              </w:rPr>
              <w:t>Doporučujeme návrh zákona konzultovat s odborníkem na ústavní právo, abychom předešli případným právním sporům, které by měly za následek zvýšené výdaje státního rozpočtu na úhradu těchto sporů.</w:t>
            </w:r>
          </w:p>
          <w:p w14:paraId="18651DE8" w14:textId="793419DB" w:rsidR="00EF4065" w:rsidRPr="00C83BD1" w:rsidRDefault="00EF4065" w:rsidP="00557CB5">
            <w:pPr>
              <w:pStyle w:val="Bezmezer"/>
              <w:jc w:val="both"/>
              <w:rPr>
                <w:rFonts w:ascii="Times New Roman" w:hAnsi="Times New Roman" w:cs="Times New Roman"/>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7C1F3BC1" w14:textId="71548869" w:rsidR="00ED497F" w:rsidRPr="002F7554" w:rsidRDefault="00ED497F" w:rsidP="00ED497F">
            <w:pPr>
              <w:pStyle w:val="Bezmezer"/>
              <w:jc w:val="both"/>
              <w:rPr>
                <w:rFonts w:ascii="Times New Roman" w:hAnsi="Times New Roman" w:cs="Times New Roman"/>
                <w:b/>
                <w:bCs/>
              </w:rPr>
            </w:pPr>
            <w:r>
              <w:rPr>
                <w:rFonts w:ascii="Times New Roman" w:hAnsi="Times New Roman" w:cs="Times New Roman"/>
                <w:b/>
                <w:bCs/>
              </w:rPr>
              <w:t>Vzato na vědomí</w:t>
            </w:r>
            <w:r w:rsidRPr="002F7554">
              <w:rPr>
                <w:rFonts w:ascii="Times New Roman" w:hAnsi="Times New Roman" w:cs="Times New Roman"/>
                <w:b/>
                <w:bCs/>
              </w:rPr>
              <w:t>.</w:t>
            </w:r>
          </w:p>
          <w:p w14:paraId="7A390C11" w14:textId="3795E506" w:rsidR="007E7A79" w:rsidRPr="00193384" w:rsidRDefault="007E7A79" w:rsidP="00ED497F">
            <w:pPr>
              <w:pStyle w:val="Bezmezer"/>
              <w:jc w:val="both"/>
              <w:rPr>
                <w:rFonts w:ascii="Times New Roman" w:hAnsi="Times New Roman" w:cs="Times New Roman"/>
                <w:color w:val="FF0000"/>
              </w:rPr>
            </w:pPr>
          </w:p>
        </w:tc>
      </w:tr>
      <w:tr w:rsidR="00EF4065" w:rsidRPr="00193384" w14:paraId="3DA2E171"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BF63A17" w14:textId="3C6BBACF" w:rsidR="00EF4065" w:rsidRPr="00841ABE" w:rsidRDefault="00A72496" w:rsidP="00081217">
            <w:pPr>
              <w:pStyle w:val="Bezmezer"/>
              <w:rPr>
                <w:rFonts w:ascii="Times New Roman" w:hAnsi="Times New Roman" w:cs="Times New Roman"/>
                <w:b/>
                <w:bCs/>
              </w:rPr>
            </w:pPr>
            <w:r>
              <w:rPr>
                <w:rFonts w:ascii="Times New Roman" w:hAnsi="Times New Roman" w:cs="Times New Roman"/>
                <w:b/>
                <w:bCs/>
              </w:rPr>
              <w:t>Ministerstvo pro místní rozvoj</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001F34FD" w14:textId="3B602321" w:rsidR="00EF4065" w:rsidRPr="00193384" w:rsidRDefault="00A72496" w:rsidP="00081217">
            <w:pPr>
              <w:pStyle w:val="Bezmezer"/>
              <w:rPr>
                <w:rFonts w:ascii="Times New Roman" w:hAnsi="Times New Roman" w:cs="Times New Roman"/>
              </w:rPr>
            </w:pPr>
            <w:r>
              <w:rPr>
                <w:rFonts w:ascii="Times New Roman" w:hAnsi="Times New Roman" w:cs="Times New Roman"/>
              </w:rPr>
              <w:t>Část druhá, § 8a</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48407CF7" w14:textId="50CE762A" w:rsidR="00EF4065" w:rsidRPr="00C83BD1" w:rsidRDefault="00A72496" w:rsidP="00081217">
            <w:pPr>
              <w:pStyle w:val="Bezmezer"/>
              <w:jc w:val="both"/>
              <w:rPr>
                <w:rFonts w:ascii="Times New Roman" w:hAnsi="Times New Roman" w:cs="Times New Roman"/>
              </w:rPr>
            </w:pPr>
            <w:r>
              <w:rPr>
                <w:rFonts w:ascii="Times New Roman" w:hAnsi="Times New Roman" w:cs="Times New Roman"/>
              </w:rPr>
              <w:t>V</w:t>
            </w:r>
            <w:r w:rsidRPr="00A72496">
              <w:rPr>
                <w:rFonts w:ascii="Times New Roman" w:hAnsi="Times New Roman" w:cs="Times New Roman"/>
              </w:rPr>
              <w:t xml:space="preserve"> části druhé doporučuji v § 8a odst. 4 slova „nebo podle odstavce“ nahradit slovem „nebo“ a obdobně doporučuji upravit § 2a odst. 4 v části třetí.</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5DE94BC1" w14:textId="1A0D9FF9" w:rsidR="00A34D4C" w:rsidRPr="00BA5B2D" w:rsidRDefault="00A34D4C" w:rsidP="00193384">
            <w:pPr>
              <w:pStyle w:val="Bezmezer"/>
              <w:jc w:val="both"/>
              <w:rPr>
                <w:rFonts w:ascii="Times New Roman" w:hAnsi="Times New Roman" w:cs="Times New Roman"/>
                <w:b/>
                <w:bCs/>
              </w:rPr>
            </w:pPr>
            <w:r w:rsidRPr="00BA5B2D">
              <w:rPr>
                <w:rFonts w:ascii="Times New Roman" w:hAnsi="Times New Roman" w:cs="Times New Roman"/>
                <w:b/>
                <w:bCs/>
              </w:rPr>
              <w:t>Neakceptováno</w:t>
            </w:r>
            <w:r w:rsidR="00327BEE" w:rsidRPr="00BA5B2D">
              <w:rPr>
                <w:rFonts w:ascii="Times New Roman" w:hAnsi="Times New Roman" w:cs="Times New Roman"/>
                <w:b/>
                <w:bCs/>
              </w:rPr>
              <w:t>.</w:t>
            </w:r>
          </w:p>
          <w:p w14:paraId="6D06EC44" w14:textId="3CD93E5A" w:rsidR="00E301A1" w:rsidRPr="0027476B" w:rsidRDefault="00A34D4C" w:rsidP="00193384">
            <w:pPr>
              <w:pStyle w:val="Bezmezer"/>
              <w:jc w:val="both"/>
              <w:rPr>
                <w:rFonts w:ascii="Times New Roman" w:hAnsi="Times New Roman" w:cs="Times New Roman"/>
                <w:color w:val="FF0000"/>
              </w:rPr>
            </w:pPr>
            <w:r w:rsidRPr="00BA5B2D">
              <w:rPr>
                <w:rFonts w:ascii="Times New Roman" w:hAnsi="Times New Roman" w:cs="Times New Roman"/>
              </w:rPr>
              <w:t>Ponechána stávající formul</w:t>
            </w:r>
            <w:r w:rsidR="00973D22">
              <w:rPr>
                <w:rFonts w:ascii="Times New Roman" w:hAnsi="Times New Roman" w:cs="Times New Roman"/>
              </w:rPr>
              <w:t>a</w:t>
            </w:r>
            <w:r w:rsidRPr="00BA5B2D">
              <w:rPr>
                <w:rFonts w:ascii="Times New Roman" w:hAnsi="Times New Roman" w:cs="Times New Roman"/>
              </w:rPr>
              <w:t xml:space="preserve">ce, která lépe vystihuje, že se jedná věcně o dvě různé situace. Byla přitom převzata formulace z předchozích úprav o zvyšování příplatků k důchodu v mimořádném termínu, srov. </w:t>
            </w:r>
            <w:r w:rsidR="00973D22">
              <w:rPr>
                <w:rFonts w:ascii="Times New Roman" w:hAnsi="Times New Roman" w:cs="Times New Roman"/>
              </w:rPr>
              <w:t xml:space="preserve">    </w:t>
            </w:r>
            <w:r w:rsidRPr="00BA5B2D">
              <w:rPr>
                <w:rFonts w:ascii="Times New Roman" w:hAnsi="Times New Roman" w:cs="Times New Roman"/>
              </w:rPr>
              <w:t>§ 1 odst. 3 nařízení vlády č. 36/2022 Sb. a § 1 odst. 3 nařízení vlády č. 137/2022 Sb.</w:t>
            </w:r>
          </w:p>
        </w:tc>
      </w:tr>
      <w:tr w:rsidR="00EF4065" w:rsidRPr="00193384" w14:paraId="510DA218"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1E1501" w14:textId="6B508470" w:rsidR="00EF4065" w:rsidRPr="00841ABE" w:rsidRDefault="00F01DF7" w:rsidP="00081217">
            <w:pPr>
              <w:pStyle w:val="Bezmezer"/>
              <w:rPr>
                <w:rFonts w:ascii="Times New Roman" w:hAnsi="Times New Roman" w:cs="Times New Roman"/>
                <w:b/>
                <w:bCs/>
              </w:rPr>
            </w:pPr>
            <w:r>
              <w:rPr>
                <w:rFonts w:ascii="Times New Roman" w:hAnsi="Times New Roman" w:cs="Times New Roman"/>
                <w:b/>
                <w:bCs/>
              </w:rPr>
              <w:t>Odbor kompatibility</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4818A15A" w14:textId="633927D8" w:rsidR="00EF4065" w:rsidRPr="007F118F" w:rsidRDefault="005E5DCB" w:rsidP="00081217">
            <w:pPr>
              <w:pStyle w:val="Bezmezer"/>
              <w:rPr>
                <w:rFonts w:ascii="Times New Roman" w:hAnsi="Times New Roman" w:cs="Times New Roman"/>
                <w:sz w:val="20"/>
                <w:szCs w:val="20"/>
              </w:rPr>
            </w:pPr>
            <w:r w:rsidRPr="007F118F">
              <w:rPr>
                <w:rFonts w:ascii="Times New Roman" w:hAnsi="Times New Roman" w:cs="Times New Roman"/>
                <w:sz w:val="20"/>
                <w:szCs w:val="20"/>
              </w:rPr>
              <w:t>K vykazování slučitelnosti s právem EU</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49609B38" w14:textId="77777777" w:rsidR="00F01DF7" w:rsidRPr="00F01DF7" w:rsidRDefault="00F01DF7" w:rsidP="00F01DF7">
            <w:pPr>
              <w:pStyle w:val="Bezmezer"/>
              <w:jc w:val="both"/>
              <w:rPr>
                <w:rFonts w:ascii="Times New Roman" w:hAnsi="Times New Roman" w:cs="Times New Roman"/>
                <w:b/>
                <w:bCs/>
                <w:u w:val="single"/>
              </w:rPr>
            </w:pPr>
            <w:r w:rsidRPr="00F01DF7">
              <w:rPr>
                <w:rFonts w:ascii="Times New Roman" w:hAnsi="Times New Roman" w:cs="Times New Roman"/>
                <w:b/>
                <w:bCs/>
                <w:u w:val="single"/>
              </w:rPr>
              <w:t>Po stránce formální:</w:t>
            </w:r>
          </w:p>
          <w:p w14:paraId="2B230E73" w14:textId="77777777" w:rsidR="00F01DF7" w:rsidRPr="00F01DF7" w:rsidRDefault="00F01DF7" w:rsidP="00F01DF7">
            <w:pPr>
              <w:pStyle w:val="Bezmezer"/>
              <w:jc w:val="both"/>
              <w:rPr>
                <w:rFonts w:ascii="Times New Roman" w:hAnsi="Times New Roman" w:cs="Times New Roman"/>
                <w:bCs/>
              </w:rPr>
            </w:pPr>
            <w:r w:rsidRPr="00F01DF7">
              <w:rPr>
                <w:rFonts w:ascii="Times New Roman" w:hAnsi="Times New Roman" w:cs="Times New Roman"/>
                <w:bCs/>
              </w:rPr>
              <w:t xml:space="preserve">Předkladatel </w:t>
            </w:r>
            <w:r w:rsidRPr="00F01DF7">
              <w:rPr>
                <w:rFonts w:ascii="Times New Roman" w:hAnsi="Times New Roman" w:cs="Times New Roman"/>
                <w:b/>
                <w:bCs/>
              </w:rPr>
              <w:t>splnil formální náležitosti</w:t>
            </w:r>
            <w:r w:rsidRPr="00F01DF7">
              <w:rPr>
                <w:rFonts w:ascii="Times New Roman" w:hAnsi="Times New Roman" w:cs="Times New Roman"/>
                <w:bCs/>
              </w:rPr>
              <w:t xml:space="preserve"> týkající se vykazování slučitelnosti s právem EU, jak vyplývají zejména z Legislativních pravidel vlády, v platném znění, a z přílohy k usnesení vlády ze dne 12. října 2005 č. 1304, o Metodických pokynech pro zajišťování prací při plnění legislativních závazků vyplývajících z členství České republiky v Evropské unii, v platném znění.</w:t>
            </w:r>
          </w:p>
          <w:p w14:paraId="1C401A68" w14:textId="77777777" w:rsidR="00E522BC" w:rsidRDefault="00E522BC" w:rsidP="00F01DF7">
            <w:pPr>
              <w:pStyle w:val="Bezmezer"/>
              <w:jc w:val="both"/>
              <w:rPr>
                <w:rFonts w:ascii="Times New Roman" w:hAnsi="Times New Roman" w:cs="Times New Roman"/>
                <w:b/>
                <w:bCs/>
                <w:u w:val="single"/>
              </w:rPr>
            </w:pPr>
          </w:p>
          <w:p w14:paraId="7AEE18A8" w14:textId="3F8CEBD5" w:rsidR="00F01DF7" w:rsidRPr="00F01DF7" w:rsidRDefault="00F01DF7" w:rsidP="00F01DF7">
            <w:pPr>
              <w:pStyle w:val="Bezmezer"/>
              <w:jc w:val="both"/>
              <w:rPr>
                <w:rFonts w:ascii="Times New Roman" w:hAnsi="Times New Roman" w:cs="Times New Roman"/>
                <w:b/>
                <w:bCs/>
                <w:u w:val="single"/>
              </w:rPr>
            </w:pPr>
            <w:r w:rsidRPr="00F01DF7">
              <w:rPr>
                <w:rFonts w:ascii="Times New Roman" w:hAnsi="Times New Roman" w:cs="Times New Roman"/>
                <w:b/>
                <w:bCs/>
                <w:u w:val="single"/>
              </w:rPr>
              <w:t>Po stránce materiální:</w:t>
            </w:r>
          </w:p>
          <w:p w14:paraId="5653CBAA" w14:textId="78DCFD02" w:rsidR="00F01DF7" w:rsidRPr="00A32595" w:rsidRDefault="00F01DF7" w:rsidP="00F01DF7">
            <w:pPr>
              <w:pStyle w:val="Bezmezer"/>
              <w:jc w:val="both"/>
              <w:rPr>
                <w:rFonts w:ascii="Times New Roman" w:hAnsi="Times New Roman" w:cs="Times New Roman"/>
                <w:b/>
                <w:bCs/>
              </w:rPr>
            </w:pPr>
            <w:r w:rsidRPr="00F01DF7">
              <w:rPr>
                <w:rFonts w:ascii="Times New Roman" w:hAnsi="Times New Roman" w:cs="Times New Roman"/>
                <w:b/>
                <w:bCs/>
              </w:rPr>
              <w:t xml:space="preserve">Stav relevantní právní úpravy v právu EU: </w:t>
            </w:r>
          </w:p>
          <w:p w14:paraId="67B92241" w14:textId="77777777" w:rsidR="00F01DF7" w:rsidRPr="00F01DF7" w:rsidRDefault="00F01DF7" w:rsidP="00F01DF7">
            <w:pPr>
              <w:pStyle w:val="Bezmezer"/>
              <w:jc w:val="both"/>
              <w:rPr>
                <w:rFonts w:ascii="Times New Roman" w:hAnsi="Times New Roman" w:cs="Times New Roman"/>
                <w:bCs/>
              </w:rPr>
            </w:pPr>
            <w:bookmarkStart w:id="0" w:name="_Hlk127549800"/>
            <w:r w:rsidRPr="00F01DF7">
              <w:rPr>
                <w:rFonts w:ascii="Times New Roman" w:hAnsi="Times New Roman" w:cs="Times New Roman"/>
              </w:rPr>
              <w:t xml:space="preserve">Návrhu zákona se v širších souvislostech dotýkají </w:t>
            </w:r>
            <w:r w:rsidRPr="00F01DF7">
              <w:rPr>
                <w:rFonts w:ascii="Times New Roman" w:hAnsi="Times New Roman" w:cs="Times New Roman"/>
                <w:bCs/>
              </w:rPr>
              <w:t xml:space="preserve">předpisy EU </w:t>
            </w:r>
            <w:r w:rsidRPr="00F01DF7">
              <w:rPr>
                <w:rFonts w:ascii="Times New Roman" w:hAnsi="Times New Roman" w:cs="Times New Roman"/>
              </w:rPr>
              <w:t>zejména</w:t>
            </w:r>
            <w:r w:rsidRPr="00F01DF7">
              <w:rPr>
                <w:rFonts w:ascii="Times New Roman" w:hAnsi="Times New Roman" w:cs="Times New Roman"/>
                <w:bCs/>
              </w:rPr>
              <w:t xml:space="preserve"> z oblasti koordinace sociálního zabezpečení a z oblasti rovnosti a zákazu diskriminace, v platném znění:</w:t>
            </w:r>
          </w:p>
          <w:p w14:paraId="44640E3A" w14:textId="77777777" w:rsidR="00F01DF7" w:rsidRPr="00F01DF7" w:rsidRDefault="00F01DF7" w:rsidP="00F01DF7">
            <w:pPr>
              <w:pStyle w:val="Bezmezer"/>
              <w:jc w:val="both"/>
              <w:rPr>
                <w:rFonts w:ascii="Times New Roman" w:hAnsi="Times New Roman" w:cs="Times New Roman"/>
                <w:bCs/>
              </w:rPr>
            </w:pPr>
          </w:p>
          <w:p w14:paraId="4D828F27" w14:textId="77777777" w:rsidR="00F01DF7" w:rsidRPr="00F01DF7" w:rsidRDefault="00F01DF7" w:rsidP="00D95B3F">
            <w:pPr>
              <w:pStyle w:val="Bezmezer"/>
              <w:numPr>
                <w:ilvl w:val="0"/>
                <w:numId w:val="13"/>
              </w:numPr>
              <w:ind w:left="268" w:hanging="268"/>
              <w:jc w:val="both"/>
              <w:rPr>
                <w:rFonts w:ascii="Times New Roman" w:hAnsi="Times New Roman" w:cs="Times New Roman"/>
              </w:rPr>
            </w:pPr>
            <w:r w:rsidRPr="00F01DF7">
              <w:rPr>
                <w:rFonts w:ascii="Times New Roman" w:hAnsi="Times New Roman" w:cs="Times New Roman"/>
                <w:bCs/>
              </w:rPr>
              <w:t xml:space="preserve">čl. 48 a čl. 153 odst. 4 Smlouvy o fungování Evropské unie (dále jen „SFEU“) a také </w:t>
            </w:r>
            <w:r w:rsidRPr="00F01DF7">
              <w:rPr>
                <w:rFonts w:ascii="Times New Roman" w:hAnsi="Times New Roman" w:cs="Times New Roman"/>
              </w:rPr>
              <w:t>čl. 126 SFEU, resp. Protokol (č. 12) o postupu při nadměrném schodku (z hlediska finanční udržitelnosti důchodového systému),</w:t>
            </w:r>
          </w:p>
          <w:p w14:paraId="24BA9AF8" w14:textId="77777777" w:rsidR="00F01DF7" w:rsidRPr="00F01DF7" w:rsidRDefault="00F01DF7" w:rsidP="00D95B3F">
            <w:pPr>
              <w:pStyle w:val="Bezmezer"/>
              <w:numPr>
                <w:ilvl w:val="0"/>
                <w:numId w:val="12"/>
              </w:numPr>
              <w:ind w:left="268" w:hanging="268"/>
              <w:jc w:val="both"/>
              <w:rPr>
                <w:rFonts w:ascii="Times New Roman" w:hAnsi="Times New Roman" w:cs="Times New Roman"/>
                <w:bCs/>
              </w:rPr>
            </w:pPr>
            <w:r w:rsidRPr="00F01DF7">
              <w:rPr>
                <w:rFonts w:ascii="Times New Roman" w:hAnsi="Times New Roman" w:cs="Times New Roman"/>
                <w:bCs/>
              </w:rPr>
              <w:lastRenderedPageBreak/>
              <w:t>nařízení Evropského parlamentu a Rady (ES) č. 883/2004 ze dne 29. dubna 2004 o koordinaci systémů sociálního zabezpečení,</w:t>
            </w:r>
          </w:p>
          <w:p w14:paraId="25D7E0BB" w14:textId="77777777" w:rsidR="00F01DF7" w:rsidRPr="00F01DF7" w:rsidRDefault="00F01DF7" w:rsidP="00D95B3F">
            <w:pPr>
              <w:pStyle w:val="Bezmezer"/>
              <w:numPr>
                <w:ilvl w:val="0"/>
                <w:numId w:val="12"/>
              </w:numPr>
              <w:ind w:left="268" w:hanging="268"/>
              <w:jc w:val="both"/>
              <w:rPr>
                <w:rFonts w:ascii="Times New Roman" w:hAnsi="Times New Roman" w:cs="Times New Roman"/>
                <w:bCs/>
              </w:rPr>
            </w:pPr>
            <w:r w:rsidRPr="00F01DF7">
              <w:rPr>
                <w:rFonts w:ascii="Times New Roman" w:hAnsi="Times New Roman" w:cs="Times New Roman"/>
                <w:bCs/>
              </w:rPr>
              <w:t>nařízení Evropského parlamentu a Rady (ES) č. 987/2009 ze dne 16. září 2009, kterým se stanoví prováděcí pravidla k nařízení (ES) č. 883/2004 o koordinaci systémů sociálního zabezpečení,</w:t>
            </w:r>
          </w:p>
          <w:p w14:paraId="65D52818" w14:textId="77777777" w:rsidR="00F01DF7" w:rsidRPr="00F01DF7" w:rsidRDefault="00F01DF7" w:rsidP="00D95B3F">
            <w:pPr>
              <w:pStyle w:val="Bezmezer"/>
              <w:numPr>
                <w:ilvl w:val="0"/>
                <w:numId w:val="12"/>
              </w:numPr>
              <w:ind w:left="268" w:hanging="268"/>
              <w:jc w:val="both"/>
              <w:rPr>
                <w:rFonts w:ascii="Times New Roman" w:hAnsi="Times New Roman" w:cs="Times New Roman"/>
                <w:bCs/>
              </w:rPr>
            </w:pPr>
            <w:r w:rsidRPr="00F01DF7">
              <w:rPr>
                <w:rFonts w:ascii="Times New Roman" w:hAnsi="Times New Roman" w:cs="Times New Roman"/>
                <w:bCs/>
              </w:rPr>
              <w:t>nařízení Evropského parlamentu a Rady (EU) č. 1231/2010 ze dne 24. listopadu 2010, kterým se rozšiřuje působnost nařízení (ES) č. 883/2004 a nařízení (ES) č. 987/2009 na státní příslušníky třetích zemí, na které se tato nařízení dosud nevztahují pouze z důvodu jejich státní příslušnosti,</w:t>
            </w:r>
          </w:p>
          <w:p w14:paraId="73F2D94D" w14:textId="66803D7E" w:rsidR="00EF4065" w:rsidRPr="00AC7075" w:rsidRDefault="00F01DF7" w:rsidP="00D95B3F">
            <w:pPr>
              <w:pStyle w:val="Bezmezer"/>
              <w:numPr>
                <w:ilvl w:val="0"/>
                <w:numId w:val="12"/>
              </w:numPr>
              <w:ind w:left="268" w:hanging="268"/>
              <w:jc w:val="both"/>
              <w:rPr>
                <w:rFonts w:ascii="Times New Roman" w:hAnsi="Times New Roman" w:cs="Times New Roman"/>
                <w:bCs/>
              </w:rPr>
            </w:pPr>
            <w:r w:rsidRPr="00F01DF7">
              <w:rPr>
                <w:rFonts w:ascii="Times New Roman" w:hAnsi="Times New Roman" w:cs="Times New Roman"/>
                <w:bCs/>
              </w:rPr>
              <w:t>směrnice Rady 79/7/EHS ze dne 19. prosince 1978 o postupném zavedení zásady rovného zacházení pro muže a ženy v oblasti sociálního zabezpečení.</w:t>
            </w:r>
            <w:bookmarkEnd w:id="0"/>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2627DC9" w14:textId="77777777" w:rsidR="0027476B" w:rsidRDefault="0027476B" w:rsidP="00193384">
            <w:pPr>
              <w:pStyle w:val="Bezmezer"/>
              <w:jc w:val="both"/>
              <w:rPr>
                <w:rFonts w:ascii="Times New Roman" w:hAnsi="Times New Roman" w:cs="Times New Roman"/>
              </w:rPr>
            </w:pPr>
          </w:p>
          <w:p w14:paraId="15506F14" w14:textId="77777777" w:rsidR="0027476B" w:rsidRPr="0027476B" w:rsidRDefault="0027476B" w:rsidP="00193384">
            <w:pPr>
              <w:pStyle w:val="Bezmezer"/>
              <w:jc w:val="both"/>
              <w:rPr>
                <w:rFonts w:ascii="Times New Roman" w:hAnsi="Times New Roman" w:cs="Times New Roman"/>
                <w:b/>
                <w:bCs/>
              </w:rPr>
            </w:pPr>
            <w:r w:rsidRPr="0027476B">
              <w:rPr>
                <w:rFonts w:ascii="Times New Roman" w:hAnsi="Times New Roman" w:cs="Times New Roman"/>
                <w:b/>
                <w:bCs/>
              </w:rPr>
              <w:t>Vzato na vědomí.</w:t>
            </w:r>
          </w:p>
          <w:p w14:paraId="4687567C" w14:textId="1BA3148F" w:rsidR="0027476B" w:rsidRPr="00193384" w:rsidRDefault="0027476B" w:rsidP="00193384">
            <w:pPr>
              <w:pStyle w:val="Bezmezer"/>
              <w:jc w:val="both"/>
              <w:rPr>
                <w:rFonts w:ascii="Times New Roman" w:hAnsi="Times New Roman" w:cs="Times New Roman"/>
              </w:rPr>
            </w:pPr>
            <w:r>
              <w:rPr>
                <w:rFonts w:ascii="Times New Roman" w:hAnsi="Times New Roman" w:cs="Times New Roman"/>
              </w:rPr>
              <w:t>Výčet dotčených předpisů byl doplněn do důvodové zprávy.</w:t>
            </w:r>
          </w:p>
        </w:tc>
      </w:tr>
      <w:tr w:rsidR="00EF4065" w:rsidRPr="00193384" w14:paraId="5DC014A1"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31064C3" w14:textId="31BC6A50" w:rsidR="00EF4065" w:rsidRPr="00841ABE" w:rsidRDefault="00AC7075" w:rsidP="00081217">
            <w:pPr>
              <w:pStyle w:val="Bezmezer"/>
              <w:rPr>
                <w:rFonts w:ascii="Times New Roman" w:hAnsi="Times New Roman" w:cs="Times New Roman"/>
                <w:b/>
                <w:bCs/>
              </w:rPr>
            </w:pPr>
            <w:r>
              <w:rPr>
                <w:rFonts w:ascii="Times New Roman" w:hAnsi="Times New Roman" w:cs="Times New Roman"/>
                <w:b/>
                <w:bCs/>
              </w:rPr>
              <w:t>Odbor kompatibility</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76F651D9" w14:textId="70683EDE" w:rsidR="00EF4065" w:rsidRPr="00193384" w:rsidRDefault="005E5DCB" w:rsidP="00081217">
            <w:pPr>
              <w:pStyle w:val="Bezmezer"/>
              <w:rPr>
                <w:rFonts w:ascii="Times New Roman" w:hAnsi="Times New Roman" w:cs="Times New Roman"/>
              </w:rPr>
            </w:pPr>
            <w:r>
              <w:rPr>
                <w:rFonts w:ascii="Times New Roman" w:hAnsi="Times New Roman" w:cs="Times New Roman"/>
              </w:rPr>
              <w:t>K materiálu</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6107BF8C" w14:textId="77777777" w:rsidR="00AC7075" w:rsidRPr="00AC7075" w:rsidRDefault="00AC7075" w:rsidP="00AC7075">
            <w:pPr>
              <w:pStyle w:val="Bezmezer"/>
              <w:jc w:val="both"/>
              <w:rPr>
                <w:rFonts w:ascii="Times New Roman" w:hAnsi="Times New Roman" w:cs="Times New Roman"/>
                <w:bCs/>
              </w:rPr>
            </w:pPr>
            <w:r w:rsidRPr="00AC7075">
              <w:rPr>
                <w:rFonts w:ascii="Times New Roman" w:hAnsi="Times New Roman" w:cs="Times New Roman"/>
                <w:b/>
                <w:bCs/>
              </w:rPr>
              <w:t>Připomínky a případné návrhy změn:</w:t>
            </w:r>
            <w:r w:rsidRPr="00AC7075">
              <w:rPr>
                <w:rFonts w:ascii="Times New Roman" w:hAnsi="Times New Roman" w:cs="Times New Roman"/>
                <w:bCs/>
              </w:rPr>
              <w:t xml:space="preserve"> </w:t>
            </w:r>
          </w:p>
          <w:p w14:paraId="014C3814" w14:textId="77777777" w:rsidR="00AC7075" w:rsidRPr="00AC7075" w:rsidRDefault="00AC7075" w:rsidP="00AC7075">
            <w:pPr>
              <w:pStyle w:val="Bezmezer"/>
              <w:jc w:val="both"/>
              <w:rPr>
                <w:rFonts w:ascii="Times New Roman" w:hAnsi="Times New Roman" w:cs="Times New Roman"/>
                <w:bCs/>
              </w:rPr>
            </w:pPr>
          </w:p>
          <w:p w14:paraId="640FFF0D" w14:textId="77777777" w:rsidR="00AC7075" w:rsidRPr="00AC7075" w:rsidRDefault="00AC7075" w:rsidP="00AC7075">
            <w:pPr>
              <w:pStyle w:val="Bezmezer"/>
              <w:jc w:val="both"/>
              <w:rPr>
                <w:rFonts w:ascii="Times New Roman" w:hAnsi="Times New Roman" w:cs="Times New Roman"/>
                <w:bCs/>
              </w:rPr>
            </w:pPr>
            <w:r w:rsidRPr="00AC7075">
              <w:rPr>
                <w:rFonts w:ascii="Times New Roman" w:hAnsi="Times New Roman" w:cs="Times New Roman"/>
                <w:bCs/>
              </w:rPr>
              <w:t xml:space="preserve">Cílem návrhu je částečné omezení valorizace důchodů v konkrétním mimořádném termínu. Předkladatel považuje tento krok za krok nezbytný pro stabilizaci veřejných financí. </w:t>
            </w:r>
          </w:p>
          <w:p w14:paraId="54B880DF" w14:textId="77777777" w:rsidR="00AC7075" w:rsidRPr="00AC7075" w:rsidRDefault="00AC7075" w:rsidP="00AC7075">
            <w:pPr>
              <w:pStyle w:val="Bezmezer"/>
              <w:jc w:val="both"/>
              <w:rPr>
                <w:rFonts w:ascii="Times New Roman" w:hAnsi="Times New Roman" w:cs="Times New Roman"/>
                <w:bCs/>
              </w:rPr>
            </w:pPr>
            <w:r w:rsidRPr="00AC7075">
              <w:rPr>
                <w:rFonts w:ascii="Times New Roman" w:hAnsi="Times New Roman" w:cs="Times New Roman"/>
                <w:bCs/>
              </w:rPr>
              <w:t>Sociální zabezpečení (tzn. i důchodový systém) nepodléhá v členských státech plné harmonizaci s právem EU, ale pouze koordinaci. Z čl. 48 SFEU a čl. 153 odst. 4 SFEU vyplývá právo členských států vymezovat základní zásady svého systému sociálního zabezpečení, členským státům je v tomto ponechán široký prostor uvážení. Nicméně Evropská unie obecně vyzývá členské státy, aby zajistily dlouhodobou fiskální udržitelnost veřejných důchodových systémů při zaručení individuálních a přiměřených důchodových práv pro všechny a důstojného života ve stáří.</w:t>
            </w:r>
            <w:r w:rsidRPr="00AC7075">
              <w:rPr>
                <w:rFonts w:ascii="Times New Roman" w:hAnsi="Times New Roman" w:cs="Times New Roman"/>
                <w:bCs/>
                <w:vertAlign w:val="superscript"/>
              </w:rPr>
              <w:footnoteReference w:id="1"/>
            </w:r>
          </w:p>
          <w:p w14:paraId="62AED6D5" w14:textId="146C6C8D" w:rsidR="00EF4065" w:rsidRPr="00AC7075" w:rsidRDefault="00AC7075" w:rsidP="00081217">
            <w:pPr>
              <w:pStyle w:val="Bezmezer"/>
              <w:jc w:val="both"/>
              <w:rPr>
                <w:rFonts w:ascii="Times New Roman" w:hAnsi="Times New Roman" w:cs="Times New Roman"/>
                <w:bCs/>
              </w:rPr>
            </w:pPr>
            <w:r w:rsidRPr="00AC7075">
              <w:rPr>
                <w:rFonts w:ascii="Times New Roman" w:hAnsi="Times New Roman" w:cs="Times New Roman"/>
                <w:bCs/>
              </w:rPr>
              <w:lastRenderedPageBreak/>
              <w:t xml:space="preserve">Systém valorizace důchodů je při splnění výše uvedených zásad plně v kompetenci členských států. K návrhu neuplatňujeme připomínky.  </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1D458A7E" w14:textId="77777777" w:rsidR="00EF4065" w:rsidRDefault="00EF4065" w:rsidP="00193384">
            <w:pPr>
              <w:pStyle w:val="Bezmezer"/>
              <w:jc w:val="both"/>
              <w:rPr>
                <w:rFonts w:ascii="Times New Roman" w:hAnsi="Times New Roman" w:cs="Times New Roman"/>
              </w:rPr>
            </w:pPr>
          </w:p>
          <w:p w14:paraId="6874A3E2" w14:textId="0FDEC317" w:rsidR="0027476B" w:rsidRPr="00193384" w:rsidRDefault="0027476B" w:rsidP="00193384">
            <w:pPr>
              <w:pStyle w:val="Bezmezer"/>
              <w:jc w:val="both"/>
              <w:rPr>
                <w:rFonts w:ascii="Times New Roman" w:hAnsi="Times New Roman" w:cs="Times New Roman"/>
              </w:rPr>
            </w:pPr>
            <w:r w:rsidRPr="0027476B">
              <w:rPr>
                <w:rFonts w:ascii="Times New Roman" w:hAnsi="Times New Roman" w:cs="Times New Roman"/>
                <w:b/>
                <w:bCs/>
              </w:rPr>
              <w:t>Vzato na vědomí.</w:t>
            </w:r>
          </w:p>
        </w:tc>
      </w:tr>
      <w:tr w:rsidR="002F0C94" w:rsidRPr="00193384" w14:paraId="5751B863"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CA69B63" w14:textId="4DB7055B" w:rsidR="002F0C94" w:rsidRPr="00841ABE" w:rsidRDefault="002D0717" w:rsidP="00081217">
            <w:pPr>
              <w:pStyle w:val="Bezmezer"/>
              <w:rPr>
                <w:rFonts w:ascii="Times New Roman" w:hAnsi="Times New Roman" w:cs="Times New Roman"/>
                <w:b/>
                <w:bCs/>
              </w:rPr>
            </w:pPr>
            <w:r>
              <w:rPr>
                <w:rFonts w:ascii="Times New Roman" w:hAnsi="Times New Roman" w:cs="Times New Roman"/>
                <w:b/>
                <w:bCs/>
              </w:rPr>
              <w:t>Odbor kompatibility</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6EA3D092" w14:textId="00452AEE" w:rsidR="002F0C94" w:rsidRPr="00193384" w:rsidRDefault="002F0C94" w:rsidP="00081217">
            <w:pPr>
              <w:pStyle w:val="Bezmezer"/>
              <w:rPr>
                <w:rFonts w:ascii="Times New Roman" w:hAnsi="Times New Roman" w:cs="Times New Roman"/>
              </w:rPr>
            </w:pP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60B9D1BA" w14:textId="77777777" w:rsidR="002D0717" w:rsidRPr="002D0717" w:rsidRDefault="002D0717" w:rsidP="002D0717">
            <w:pPr>
              <w:pStyle w:val="Bezmezer"/>
              <w:jc w:val="both"/>
              <w:rPr>
                <w:rFonts w:ascii="Times New Roman" w:hAnsi="Times New Roman" w:cs="Times New Roman"/>
                <w:b/>
                <w:u w:val="single"/>
              </w:rPr>
            </w:pPr>
            <w:r w:rsidRPr="002D0717">
              <w:rPr>
                <w:rFonts w:ascii="Times New Roman" w:hAnsi="Times New Roman" w:cs="Times New Roman"/>
                <w:b/>
                <w:u w:val="single"/>
              </w:rPr>
              <w:t>Závěr:</w:t>
            </w:r>
          </w:p>
          <w:p w14:paraId="1D85664E" w14:textId="6268CC58" w:rsidR="002F0C94" w:rsidRPr="002D0717" w:rsidRDefault="002D0717" w:rsidP="002D0717">
            <w:pPr>
              <w:pStyle w:val="Bezmezer"/>
              <w:jc w:val="both"/>
              <w:rPr>
                <w:rFonts w:ascii="Times New Roman" w:hAnsi="Times New Roman" w:cs="Times New Roman"/>
                <w:b/>
              </w:rPr>
            </w:pPr>
            <w:r w:rsidRPr="002D0717">
              <w:rPr>
                <w:rFonts w:ascii="Times New Roman" w:hAnsi="Times New Roman" w:cs="Times New Roman"/>
                <w:b/>
              </w:rPr>
              <w:t>Návrh zákona přímo nezapracovává předpisy EU a není s právem EU v rozporu.</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21B27C27" w14:textId="77777777" w:rsidR="002F0C94" w:rsidRPr="00193384" w:rsidRDefault="002F0C94" w:rsidP="00193384">
            <w:pPr>
              <w:pStyle w:val="Bezmezer"/>
              <w:jc w:val="both"/>
              <w:rPr>
                <w:rFonts w:ascii="Times New Roman" w:hAnsi="Times New Roman" w:cs="Times New Roman"/>
              </w:rPr>
            </w:pPr>
          </w:p>
        </w:tc>
      </w:tr>
      <w:tr w:rsidR="00ED7914" w:rsidRPr="00193384" w14:paraId="0AC22F11"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3F0BACF" w14:textId="271555EE" w:rsidR="00ED7914" w:rsidRDefault="00ED7914" w:rsidP="00081217">
            <w:pPr>
              <w:pStyle w:val="Bezmezer"/>
              <w:rPr>
                <w:rFonts w:ascii="Times New Roman" w:hAnsi="Times New Roman" w:cs="Times New Roman"/>
                <w:b/>
                <w:bCs/>
              </w:rPr>
            </w:pPr>
            <w:r w:rsidRPr="00ED7914">
              <w:rPr>
                <w:rFonts w:ascii="Times New Roman" w:hAnsi="Times New Roman" w:cs="Times New Roman"/>
                <w:b/>
                <w:bCs/>
              </w:rPr>
              <w:t>Ministr pro legislativu a předseda Legislativní rady vlády</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253B7649" w14:textId="4D42B280" w:rsidR="00ED7914" w:rsidRPr="00193384" w:rsidRDefault="00ED7914" w:rsidP="00081217">
            <w:pPr>
              <w:pStyle w:val="Bezmezer"/>
              <w:rPr>
                <w:rFonts w:ascii="Times New Roman" w:hAnsi="Times New Roman" w:cs="Times New Roman"/>
              </w:rPr>
            </w:pPr>
            <w:r>
              <w:rPr>
                <w:rFonts w:ascii="Times New Roman" w:hAnsi="Times New Roman" w:cs="Times New Roman"/>
              </w:rPr>
              <w:t>Obecně k návrhu</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04BB0A72" w14:textId="77777777" w:rsidR="00ED7914" w:rsidRPr="00ED7914" w:rsidRDefault="00ED7914" w:rsidP="00ED7914">
            <w:pPr>
              <w:pStyle w:val="Bezmezer"/>
              <w:jc w:val="both"/>
              <w:rPr>
                <w:rFonts w:ascii="Times New Roman" w:hAnsi="Times New Roman" w:cs="Times New Roman"/>
                <w:bCs/>
              </w:rPr>
            </w:pPr>
            <w:r w:rsidRPr="00ED7914">
              <w:rPr>
                <w:rFonts w:ascii="Times New Roman" w:hAnsi="Times New Roman" w:cs="Times New Roman"/>
                <w:bCs/>
              </w:rPr>
              <w:t xml:space="preserve">Navrhujeme, aby novela obsahovala i </w:t>
            </w:r>
            <w:r w:rsidRPr="00ED7914">
              <w:rPr>
                <w:rFonts w:ascii="Times New Roman" w:hAnsi="Times New Roman" w:cs="Times New Roman"/>
                <w:b/>
                <w:bCs/>
              </w:rPr>
              <w:t>řešení motivace vstupovat do předčasných důchodů</w:t>
            </w:r>
            <w:r w:rsidRPr="00ED7914">
              <w:rPr>
                <w:rFonts w:ascii="Times New Roman" w:hAnsi="Times New Roman" w:cs="Times New Roman"/>
                <w:bCs/>
              </w:rPr>
              <w:t>. Zároveň navrhujeme opravit nespravedlnost obsaženou v dosavadní úpravě předčasných důchodů.</w:t>
            </w:r>
          </w:p>
          <w:p w14:paraId="168C7A1A" w14:textId="77777777" w:rsidR="00ED7914" w:rsidRPr="00ED7914" w:rsidRDefault="00ED7914" w:rsidP="00ED7914">
            <w:pPr>
              <w:pStyle w:val="Bezmezer"/>
              <w:jc w:val="both"/>
              <w:rPr>
                <w:rFonts w:ascii="Times New Roman" w:hAnsi="Times New Roman" w:cs="Times New Roman"/>
                <w:bCs/>
              </w:rPr>
            </w:pPr>
            <w:r w:rsidRPr="00ED7914">
              <w:rPr>
                <w:rFonts w:ascii="Times New Roman" w:hAnsi="Times New Roman" w:cs="Times New Roman"/>
                <w:bCs/>
              </w:rPr>
              <w:t>Upozorňujeme na to, že v průběhu roku 2022 došlo k několika valorizacím důchodů, což bylo široce využito ze strany veřejnosti. Důchody přiznané v roce 2022 jsou aktuálně zhruba o 2.500 Kč vyšší než důchody přiznávané v roce 2023. </w:t>
            </w:r>
          </w:p>
          <w:p w14:paraId="26350440" w14:textId="77777777" w:rsidR="00ED7914" w:rsidRPr="00ED7914" w:rsidRDefault="00ED7914" w:rsidP="00ED7914">
            <w:pPr>
              <w:pStyle w:val="Bezmezer"/>
              <w:jc w:val="both"/>
              <w:rPr>
                <w:rFonts w:ascii="Times New Roman" w:hAnsi="Times New Roman" w:cs="Times New Roman"/>
                <w:bCs/>
              </w:rPr>
            </w:pPr>
            <w:r w:rsidRPr="00ED7914">
              <w:rPr>
                <w:rFonts w:ascii="Times New Roman" w:hAnsi="Times New Roman" w:cs="Times New Roman"/>
                <w:bCs/>
              </w:rPr>
              <w:t>Osoby, které déle pracují a žádají v řádném termínu, mají tedy přiznávané nižší důchody než osoby, které požádaly a vstoupily do předčasného důchodu. </w:t>
            </w:r>
          </w:p>
          <w:p w14:paraId="75359540" w14:textId="12C6C752" w:rsidR="00ED7914" w:rsidRPr="00ED7914" w:rsidRDefault="00ED7914" w:rsidP="00ED7914">
            <w:pPr>
              <w:pStyle w:val="Bezmezer"/>
              <w:jc w:val="both"/>
              <w:rPr>
                <w:rFonts w:ascii="Times New Roman" w:hAnsi="Times New Roman" w:cs="Times New Roman"/>
                <w:bCs/>
              </w:rPr>
            </w:pPr>
            <w:r w:rsidRPr="00ED7914">
              <w:rPr>
                <w:rFonts w:ascii="Times New Roman" w:hAnsi="Times New Roman" w:cs="Times New Roman"/>
                <w:bCs/>
              </w:rPr>
              <w:t xml:space="preserve">Za vhodné řešení považujeme </w:t>
            </w:r>
            <w:r w:rsidRPr="00ED7914">
              <w:rPr>
                <w:rFonts w:ascii="Times New Roman" w:hAnsi="Times New Roman" w:cs="Times New Roman"/>
                <w:b/>
                <w:bCs/>
              </w:rPr>
              <w:t>úpravu (minimalizaci) valorizací u předčasných důchodů do dovršení řádného důchodového věku</w:t>
            </w:r>
            <w:r w:rsidRPr="00ED7914">
              <w:rPr>
                <w:rFonts w:ascii="Times New Roman" w:hAnsi="Times New Roman" w:cs="Times New Roman"/>
                <w:bCs/>
              </w:rPr>
              <w:t xml:space="preserve"> a navrhujeme, aby byl návrh doplněn do tohoto legislativního návrhu. Jinak nemusí být dosaženo zamýšleného cíle a nastane vysoká motivace k dalším předčasným odchodům do důchodu. </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413208D9" w14:textId="77777777" w:rsidR="00ED7914" w:rsidRDefault="00ED7914" w:rsidP="00193384">
            <w:pPr>
              <w:pStyle w:val="Bezmezer"/>
              <w:jc w:val="both"/>
              <w:rPr>
                <w:rFonts w:ascii="Times New Roman" w:hAnsi="Times New Roman" w:cs="Times New Roman"/>
              </w:rPr>
            </w:pPr>
          </w:p>
          <w:p w14:paraId="5DBA7283" w14:textId="77777777" w:rsidR="0027476B" w:rsidRPr="0027476B" w:rsidRDefault="0027476B" w:rsidP="00193384">
            <w:pPr>
              <w:pStyle w:val="Bezmezer"/>
              <w:jc w:val="both"/>
              <w:rPr>
                <w:rFonts w:ascii="Times New Roman" w:hAnsi="Times New Roman" w:cs="Times New Roman"/>
                <w:b/>
                <w:bCs/>
              </w:rPr>
            </w:pPr>
            <w:r w:rsidRPr="0027476B">
              <w:rPr>
                <w:rFonts w:ascii="Times New Roman" w:hAnsi="Times New Roman" w:cs="Times New Roman"/>
                <w:b/>
                <w:bCs/>
              </w:rPr>
              <w:t>Neakceptováno.</w:t>
            </w:r>
          </w:p>
          <w:p w14:paraId="13DBFD15" w14:textId="77777777" w:rsidR="0027476B" w:rsidRDefault="0027476B" w:rsidP="00193384">
            <w:pPr>
              <w:pStyle w:val="Bezmezer"/>
              <w:jc w:val="both"/>
              <w:rPr>
                <w:rFonts w:ascii="Times New Roman" w:hAnsi="Times New Roman" w:cs="Times New Roman"/>
              </w:rPr>
            </w:pPr>
          </w:p>
          <w:p w14:paraId="23ABA413" w14:textId="154A3D2C" w:rsidR="0027476B" w:rsidRPr="00193384" w:rsidRDefault="0027476B" w:rsidP="00193384">
            <w:pPr>
              <w:pStyle w:val="Bezmezer"/>
              <w:jc w:val="both"/>
              <w:rPr>
                <w:rFonts w:ascii="Times New Roman" w:hAnsi="Times New Roman" w:cs="Times New Roman"/>
              </w:rPr>
            </w:pPr>
            <w:r>
              <w:rPr>
                <w:rFonts w:ascii="Times New Roman" w:hAnsi="Times New Roman" w:cs="Times New Roman"/>
              </w:rPr>
              <w:t>S úpravou tzv. předčasných starobních důchodů se počítá v dalším kroku – není odůvodněné řešit tuto problematiku ve stavu legislativní nouze.</w:t>
            </w:r>
          </w:p>
        </w:tc>
      </w:tr>
      <w:tr w:rsidR="00ED7914" w:rsidRPr="00193384" w14:paraId="6488DAAE"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414648A" w14:textId="4CA8C1B7" w:rsidR="00ED7914" w:rsidRDefault="00F7147C" w:rsidP="00081217">
            <w:pPr>
              <w:pStyle w:val="Bezmezer"/>
              <w:rPr>
                <w:rFonts w:ascii="Times New Roman" w:hAnsi="Times New Roman" w:cs="Times New Roman"/>
                <w:b/>
                <w:bCs/>
              </w:rPr>
            </w:pPr>
            <w:r w:rsidRPr="00ED7914">
              <w:rPr>
                <w:rFonts w:ascii="Times New Roman" w:hAnsi="Times New Roman" w:cs="Times New Roman"/>
                <w:b/>
                <w:bCs/>
              </w:rPr>
              <w:t>Ministr pro legislativu a předseda Legislativní rady vlády</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4D61FFF0" w14:textId="68D1DAFD" w:rsidR="00ED7914" w:rsidRPr="00193384" w:rsidRDefault="00F7147C" w:rsidP="00081217">
            <w:pPr>
              <w:pStyle w:val="Bezmezer"/>
              <w:rPr>
                <w:rFonts w:ascii="Times New Roman" w:hAnsi="Times New Roman" w:cs="Times New Roman"/>
              </w:rPr>
            </w:pPr>
            <w:r>
              <w:rPr>
                <w:rFonts w:ascii="Times New Roman" w:hAnsi="Times New Roman" w:cs="Times New Roman"/>
              </w:rPr>
              <w:t>Obecně k návrhu</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60D277A3" w14:textId="28D841E1" w:rsidR="00F7147C" w:rsidRPr="00F7147C" w:rsidRDefault="00F7147C" w:rsidP="00F7147C">
            <w:pPr>
              <w:pStyle w:val="Bezmezer"/>
              <w:jc w:val="both"/>
              <w:rPr>
                <w:rFonts w:ascii="Times New Roman" w:hAnsi="Times New Roman" w:cs="Times New Roman"/>
                <w:bCs/>
              </w:rPr>
            </w:pPr>
            <w:r w:rsidRPr="00F7147C">
              <w:rPr>
                <w:rFonts w:ascii="Times New Roman" w:hAnsi="Times New Roman" w:cs="Times New Roman"/>
                <w:bCs/>
              </w:rPr>
              <w:t xml:space="preserve">Navrhujeme, </w:t>
            </w:r>
            <w:r w:rsidRPr="00F7147C">
              <w:rPr>
                <w:rFonts w:ascii="Times New Roman" w:hAnsi="Times New Roman" w:cs="Times New Roman"/>
                <w:b/>
                <w:bCs/>
              </w:rPr>
              <w:t>aby se snížení mimořádné valorizace týkalo pouze všech důchodů přiznaných do konce roku 2022</w:t>
            </w:r>
            <w:r w:rsidRPr="00F7147C">
              <w:rPr>
                <w:rFonts w:ascii="Times New Roman" w:hAnsi="Times New Roman" w:cs="Times New Roman"/>
                <w:bCs/>
              </w:rPr>
              <w:t>. Tím by mohlo být v čase dosaženo srovnání výše nových důchodů s důchody přiznanými zejména v roce 2022.</w:t>
            </w:r>
          </w:p>
          <w:p w14:paraId="05449D68" w14:textId="77777777" w:rsidR="00F7147C" w:rsidRPr="00F7147C" w:rsidRDefault="00F7147C" w:rsidP="00F7147C">
            <w:pPr>
              <w:pStyle w:val="Bezmezer"/>
              <w:jc w:val="both"/>
              <w:rPr>
                <w:rFonts w:ascii="Times New Roman" w:hAnsi="Times New Roman" w:cs="Times New Roman"/>
                <w:bCs/>
              </w:rPr>
            </w:pPr>
            <w:r w:rsidRPr="00F7147C">
              <w:rPr>
                <w:rFonts w:ascii="Times New Roman" w:hAnsi="Times New Roman" w:cs="Times New Roman"/>
                <w:bCs/>
              </w:rPr>
              <w:t xml:space="preserve">Tato připomínka slouží k napravení </w:t>
            </w:r>
            <w:proofErr w:type="gramStart"/>
            <w:r w:rsidRPr="00F7147C">
              <w:rPr>
                <w:rFonts w:ascii="Times New Roman" w:hAnsi="Times New Roman" w:cs="Times New Roman"/>
                <w:bCs/>
              </w:rPr>
              <w:t>nespravedlnosti - tedy</w:t>
            </w:r>
            <w:proofErr w:type="gramEnd"/>
            <w:r w:rsidRPr="00F7147C">
              <w:rPr>
                <w:rFonts w:ascii="Times New Roman" w:hAnsi="Times New Roman" w:cs="Times New Roman"/>
                <w:bCs/>
              </w:rPr>
              <w:t>, že potenciální žadatelé v řádném termínu mají nižší důchody (byť pracovali déle) než žadatelé v předčasném termínu. </w:t>
            </w:r>
          </w:p>
          <w:p w14:paraId="43A47321" w14:textId="0035BD62" w:rsidR="00ED7914" w:rsidRPr="00ED7914" w:rsidRDefault="00F7147C" w:rsidP="002D0717">
            <w:pPr>
              <w:pStyle w:val="Bezmezer"/>
              <w:jc w:val="both"/>
              <w:rPr>
                <w:rFonts w:ascii="Times New Roman" w:hAnsi="Times New Roman" w:cs="Times New Roman"/>
                <w:bCs/>
              </w:rPr>
            </w:pPr>
            <w:r w:rsidRPr="00F7147C">
              <w:rPr>
                <w:rFonts w:ascii="Times New Roman" w:hAnsi="Times New Roman" w:cs="Times New Roman"/>
                <w:bCs/>
              </w:rPr>
              <w:t xml:space="preserve">Připomínka </w:t>
            </w:r>
            <w:proofErr w:type="gramStart"/>
            <w:r w:rsidRPr="00F7147C">
              <w:rPr>
                <w:rFonts w:ascii="Times New Roman" w:hAnsi="Times New Roman" w:cs="Times New Roman"/>
                <w:bCs/>
              </w:rPr>
              <w:t>míří</w:t>
            </w:r>
            <w:proofErr w:type="gramEnd"/>
            <w:r w:rsidRPr="00F7147C">
              <w:rPr>
                <w:rFonts w:ascii="Times New Roman" w:hAnsi="Times New Roman" w:cs="Times New Roman"/>
                <w:bCs/>
              </w:rPr>
              <w:t xml:space="preserve"> k tomu, zda byla zvažována i tato varianta a proč nebyla zvolena. Vzhledem k celkovému počtu osob, kterých se týká vyplácení důchodů, není omezení o osoby vstupující do důchodu v roce 2023 nijak rozpočtově významné.</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428DC7F0" w14:textId="77777777" w:rsidR="00ED7914" w:rsidRDefault="00ED7914" w:rsidP="00193384">
            <w:pPr>
              <w:pStyle w:val="Bezmezer"/>
              <w:jc w:val="both"/>
              <w:rPr>
                <w:rFonts w:ascii="Times New Roman" w:hAnsi="Times New Roman" w:cs="Times New Roman"/>
              </w:rPr>
            </w:pPr>
          </w:p>
          <w:p w14:paraId="543C2458" w14:textId="77777777" w:rsidR="007773FA" w:rsidRPr="0027476B" w:rsidRDefault="007773FA" w:rsidP="007773FA">
            <w:pPr>
              <w:pStyle w:val="Bezmezer"/>
              <w:jc w:val="both"/>
              <w:rPr>
                <w:rFonts w:ascii="Times New Roman" w:hAnsi="Times New Roman" w:cs="Times New Roman"/>
                <w:b/>
                <w:bCs/>
              </w:rPr>
            </w:pPr>
            <w:r w:rsidRPr="0027476B">
              <w:rPr>
                <w:rFonts w:ascii="Times New Roman" w:hAnsi="Times New Roman" w:cs="Times New Roman"/>
                <w:b/>
                <w:bCs/>
              </w:rPr>
              <w:t>Neakceptováno.</w:t>
            </w:r>
          </w:p>
          <w:p w14:paraId="224B1BDD" w14:textId="77777777" w:rsidR="007773FA" w:rsidRDefault="007773FA" w:rsidP="007773FA">
            <w:pPr>
              <w:pStyle w:val="Bezmezer"/>
              <w:jc w:val="both"/>
              <w:rPr>
                <w:rFonts w:ascii="Times New Roman" w:hAnsi="Times New Roman" w:cs="Times New Roman"/>
              </w:rPr>
            </w:pPr>
          </w:p>
          <w:p w14:paraId="16E183C5" w14:textId="109B1744" w:rsidR="007773FA" w:rsidRPr="00193384" w:rsidRDefault="007773FA" w:rsidP="007773FA">
            <w:pPr>
              <w:pStyle w:val="Bezmezer"/>
              <w:jc w:val="both"/>
              <w:rPr>
                <w:rFonts w:ascii="Times New Roman" w:hAnsi="Times New Roman" w:cs="Times New Roman"/>
              </w:rPr>
            </w:pPr>
            <w:r>
              <w:rPr>
                <w:rFonts w:ascii="Times New Roman" w:hAnsi="Times New Roman" w:cs="Times New Roman"/>
              </w:rPr>
              <w:t>Řešení není proveditelné v provozních podmínkách plátců důchodu. Proto nebylo ani zvažováno.</w:t>
            </w:r>
          </w:p>
        </w:tc>
      </w:tr>
      <w:tr w:rsidR="00ED7914" w:rsidRPr="00193384" w14:paraId="4A602D23"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24629CC" w14:textId="6BA7B4E4" w:rsidR="00ED7914" w:rsidRDefault="00F7147C" w:rsidP="00081217">
            <w:pPr>
              <w:pStyle w:val="Bezmezer"/>
              <w:rPr>
                <w:rFonts w:ascii="Times New Roman" w:hAnsi="Times New Roman" w:cs="Times New Roman"/>
                <w:b/>
                <w:bCs/>
              </w:rPr>
            </w:pPr>
            <w:r w:rsidRPr="00F7147C">
              <w:rPr>
                <w:rFonts w:ascii="Times New Roman" w:hAnsi="Times New Roman" w:cs="Times New Roman"/>
                <w:b/>
                <w:bCs/>
              </w:rPr>
              <w:lastRenderedPageBreak/>
              <w:t>Ministr pro legislativu a předseda Legislativní rady vlády</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48BE3B12" w14:textId="16DB3C9A" w:rsidR="00ED7914" w:rsidRPr="00193384" w:rsidRDefault="008B0616" w:rsidP="00081217">
            <w:pPr>
              <w:pStyle w:val="Bezmezer"/>
              <w:rPr>
                <w:rFonts w:ascii="Times New Roman" w:hAnsi="Times New Roman" w:cs="Times New Roman"/>
              </w:rPr>
            </w:pPr>
            <w:r>
              <w:rPr>
                <w:rFonts w:ascii="Times New Roman" w:hAnsi="Times New Roman" w:cs="Times New Roman"/>
              </w:rPr>
              <w:t>Legislativně technické připomínky</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2C0D90CF" w14:textId="77777777" w:rsidR="008B0616" w:rsidRPr="008B0616" w:rsidRDefault="008B0616" w:rsidP="008B0616">
            <w:pPr>
              <w:pStyle w:val="Bezmezer"/>
              <w:jc w:val="both"/>
              <w:rPr>
                <w:rFonts w:ascii="Times New Roman" w:hAnsi="Times New Roman" w:cs="Times New Roman"/>
                <w:b/>
                <w:bCs/>
              </w:rPr>
            </w:pPr>
            <w:r w:rsidRPr="008B0616">
              <w:rPr>
                <w:rFonts w:ascii="Times New Roman" w:hAnsi="Times New Roman" w:cs="Times New Roman"/>
                <w:b/>
                <w:bCs/>
              </w:rPr>
              <w:t>K jednotlivým ustanovením návrhu zákona:</w:t>
            </w:r>
          </w:p>
          <w:p w14:paraId="5F6F016D" w14:textId="77777777" w:rsidR="008B0616" w:rsidRDefault="008B0616" w:rsidP="008B0616">
            <w:pPr>
              <w:pStyle w:val="Bezmezer"/>
              <w:jc w:val="both"/>
              <w:rPr>
                <w:rFonts w:ascii="Times New Roman" w:hAnsi="Times New Roman" w:cs="Times New Roman"/>
                <w:bCs/>
              </w:rPr>
            </w:pPr>
          </w:p>
          <w:p w14:paraId="1F792D64" w14:textId="28AF12BF" w:rsidR="008B0616" w:rsidRPr="008B0616" w:rsidRDefault="008B0616" w:rsidP="008B0616">
            <w:pPr>
              <w:pStyle w:val="Bezmezer"/>
              <w:jc w:val="both"/>
              <w:rPr>
                <w:rFonts w:ascii="Times New Roman" w:hAnsi="Times New Roman" w:cs="Times New Roman"/>
                <w:bCs/>
              </w:rPr>
            </w:pPr>
            <w:r w:rsidRPr="008B0616">
              <w:rPr>
                <w:rFonts w:ascii="Times New Roman" w:hAnsi="Times New Roman" w:cs="Times New Roman"/>
                <w:bCs/>
              </w:rPr>
              <w:t>K části první:</w:t>
            </w:r>
          </w:p>
          <w:p w14:paraId="06CF2727" w14:textId="77777777" w:rsidR="008B0616" w:rsidRPr="008B0616" w:rsidRDefault="008B0616" w:rsidP="008B0616">
            <w:pPr>
              <w:pStyle w:val="Bezmezer"/>
              <w:jc w:val="both"/>
              <w:rPr>
                <w:rFonts w:ascii="Times New Roman" w:hAnsi="Times New Roman" w:cs="Times New Roman"/>
                <w:bCs/>
              </w:rPr>
            </w:pPr>
            <w:r w:rsidRPr="008B0616">
              <w:rPr>
                <w:rFonts w:ascii="Times New Roman" w:hAnsi="Times New Roman" w:cs="Times New Roman"/>
                <w:bCs/>
              </w:rPr>
              <w:t xml:space="preserve">Navrhujeme nadpis části první uvést v tomto znění: </w:t>
            </w:r>
          </w:p>
          <w:p w14:paraId="541DC421" w14:textId="77777777" w:rsidR="008B0616" w:rsidRPr="008B0616" w:rsidRDefault="008B0616" w:rsidP="008B0616">
            <w:pPr>
              <w:pStyle w:val="Bezmezer"/>
              <w:jc w:val="both"/>
              <w:rPr>
                <w:rFonts w:ascii="Times New Roman" w:hAnsi="Times New Roman" w:cs="Times New Roman"/>
                <w:b/>
                <w:bCs/>
              </w:rPr>
            </w:pPr>
            <w:r w:rsidRPr="008B0616">
              <w:rPr>
                <w:rFonts w:ascii="Times New Roman" w:hAnsi="Times New Roman" w:cs="Times New Roman"/>
                <w:b/>
                <w:bCs/>
              </w:rPr>
              <w:t>Změna zákona o důchodovém pojištění</w:t>
            </w:r>
          </w:p>
          <w:p w14:paraId="665CDD53" w14:textId="77777777" w:rsidR="008B0616" w:rsidRDefault="008B0616" w:rsidP="008B0616">
            <w:pPr>
              <w:pStyle w:val="Bezmezer"/>
              <w:jc w:val="both"/>
              <w:rPr>
                <w:rFonts w:ascii="Times New Roman" w:hAnsi="Times New Roman" w:cs="Times New Roman"/>
                <w:bCs/>
              </w:rPr>
            </w:pPr>
          </w:p>
          <w:p w14:paraId="14FA1256" w14:textId="49C003C1" w:rsidR="008B0616" w:rsidRPr="008B0616" w:rsidRDefault="008B0616" w:rsidP="008B0616">
            <w:pPr>
              <w:pStyle w:val="Bezmezer"/>
              <w:jc w:val="both"/>
              <w:rPr>
                <w:rFonts w:ascii="Times New Roman" w:hAnsi="Times New Roman" w:cs="Times New Roman"/>
                <w:bCs/>
              </w:rPr>
            </w:pPr>
            <w:r w:rsidRPr="008B0616">
              <w:rPr>
                <w:rFonts w:ascii="Times New Roman" w:hAnsi="Times New Roman" w:cs="Times New Roman"/>
                <w:bCs/>
              </w:rPr>
              <w:t>K části druhé:</w:t>
            </w:r>
          </w:p>
          <w:p w14:paraId="589E39BE" w14:textId="77777777" w:rsidR="008B0616" w:rsidRPr="008B0616" w:rsidRDefault="008B0616" w:rsidP="008B0616">
            <w:pPr>
              <w:pStyle w:val="Bezmezer"/>
              <w:jc w:val="both"/>
              <w:rPr>
                <w:rFonts w:ascii="Times New Roman" w:hAnsi="Times New Roman" w:cs="Times New Roman"/>
                <w:bCs/>
              </w:rPr>
            </w:pPr>
            <w:r w:rsidRPr="008B0616">
              <w:rPr>
                <w:rFonts w:ascii="Times New Roman" w:hAnsi="Times New Roman" w:cs="Times New Roman"/>
                <w:bCs/>
              </w:rPr>
              <w:t>Navrhujeme nadpis části druhé uvést v tomto znění:</w:t>
            </w:r>
          </w:p>
          <w:p w14:paraId="491A1952" w14:textId="77777777" w:rsidR="008B0616" w:rsidRPr="008B0616" w:rsidRDefault="008B0616" w:rsidP="008B0616">
            <w:pPr>
              <w:pStyle w:val="Bezmezer"/>
              <w:jc w:val="both"/>
              <w:rPr>
                <w:rFonts w:ascii="Times New Roman" w:hAnsi="Times New Roman" w:cs="Times New Roman"/>
                <w:b/>
                <w:bCs/>
              </w:rPr>
            </w:pPr>
            <w:r w:rsidRPr="008B0616">
              <w:rPr>
                <w:rFonts w:ascii="Times New Roman" w:hAnsi="Times New Roman" w:cs="Times New Roman"/>
                <w:b/>
                <w:bCs/>
              </w:rPr>
              <w:t>Změna zákona o protiprávnosti komunistického režimu a odporu proti němu</w:t>
            </w:r>
          </w:p>
          <w:p w14:paraId="094A3DE9" w14:textId="77777777" w:rsidR="008B0616" w:rsidRDefault="008B0616" w:rsidP="008B0616">
            <w:pPr>
              <w:pStyle w:val="Bezmezer"/>
              <w:jc w:val="both"/>
              <w:rPr>
                <w:rFonts w:ascii="Times New Roman" w:hAnsi="Times New Roman" w:cs="Times New Roman"/>
                <w:bCs/>
              </w:rPr>
            </w:pPr>
          </w:p>
          <w:p w14:paraId="094A3CD4" w14:textId="13A3ADAB" w:rsidR="008B0616" w:rsidRPr="008B0616" w:rsidRDefault="008B0616" w:rsidP="008B0616">
            <w:pPr>
              <w:pStyle w:val="Bezmezer"/>
              <w:jc w:val="both"/>
              <w:rPr>
                <w:rFonts w:ascii="Times New Roman" w:hAnsi="Times New Roman" w:cs="Times New Roman"/>
                <w:bCs/>
              </w:rPr>
            </w:pPr>
            <w:r w:rsidRPr="008B0616">
              <w:rPr>
                <w:rFonts w:ascii="Times New Roman" w:hAnsi="Times New Roman" w:cs="Times New Roman"/>
                <w:bCs/>
              </w:rPr>
              <w:t>K části třetí:</w:t>
            </w:r>
          </w:p>
          <w:p w14:paraId="000C42EC" w14:textId="77777777" w:rsidR="008B0616" w:rsidRPr="008B0616" w:rsidRDefault="008B0616" w:rsidP="008B0616">
            <w:pPr>
              <w:pStyle w:val="Bezmezer"/>
              <w:jc w:val="both"/>
              <w:rPr>
                <w:rFonts w:ascii="Times New Roman" w:hAnsi="Times New Roman" w:cs="Times New Roman"/>
                <w:bCs/>
              </w:rPr>
            </w:pPr>
            <w:r w:rsidRPr="008B0616">
              <w:rPr>
                <w:rFonts w:ascii="Times New Roman" w:hAnsi="Times New Roman" w:cs="Times New Roman"/>
                <w:bCs/>
              </w:rPr>
              <w:t xml:space="preserve">Navrhujeme v části třetí upravit nadpis v tomto znění: </w:t>
            </w:r>
          </w:p>
          <w:p w14:paraId="44ECF1B6" w14:textId="50E33195" w:rsidR="00ED7914" w:rsidRPr="00A32595" w:rsidRDefault="008B0616" w:rsidP="002D0717">
            <w:pPr>
              <w:pStyle w:val="Bezmezer"/>
              <w:jc w:val="both"/>
              <w:rPr>
                <w:rFonts w:ascii="Times New Roman" w:hAnsi="Times New Roman" w:cs="Times New Roman"/>
                <w:b/>
                <w:bCs/>
              </w:rPr>
            </w:pPr>
            <w:r w:rsidRPr="008B0616">
              <w:rPr>
                <w:rFonts w:ascii="Times New Roman" w:hAnsi="Times New Roman" w:cs="Times New Roman"/>
                <w:b/>
                <w:bCs/>
              </w:rPr>
              <w:t>Změna zákona o ocenění účastníků národního boje za vznik a osvobození Československa</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2050283C" w14:textId="77777777" w:rsidR="00327BEE" w:rsidRPr="00BA5B2D" w:rsidRDefault="00A34D4C" w:rsidP="00193384">
            <w:pPr>
              <w:pStyle w:val="Bezmezer"/>
              <w:jc w:val="both"/>
              <w:rPr>
                <w:rFonts w:ascii="Times New Roman" w:hAnsi="Times New Roman" w:cs="Times New Roman"/>
                <w:b/>
                <w:bCs/>
              </w:rPr>
            </w:pPr>
            <w:r w:rsidRPr="00BA5B2D">
              <w:rPr>
                <w:rFonts w:ascii="Times New Roman" w:hAnsi="Times New Roman" w:cs="Times New Roman"/>
                <w:b/>
                <w:bCs/>
              </w:rPr>
              <w:t>Akceptováno</w:t>
            </w:r>
            <w:r w:rsidR="00327BEE" w:rsidRPr="00BA5B2D">
              <w:rPr>
                <w:rFonts w:ascii="Times New Roman" w:hAnsi="Times New Roman" w:cs="Times New Roman"/>
                <w:b/>
                <w:bCs/>
              </w:rPr>
              <w:t>.</w:t>
            </w:r>
          </w:p>
          <w:p w14:paraId="5101BA98" w14:textId="762F409D" w:rsidR="00ED7914" w:rsidRPr="007773FA" w:rsidRDefault="00327BEE" w:rsidP="00193384">
            <w:pPr>
              <w:pStyle w:val="Bezmezer"/>
              <w:jc w:val="both"/>
              <w:rPr>
                <w:rFonts w:ascii="Times New Roman" w:hAnsi="Times New Roman" w:cs="Times New Roman"/>
                <w:color w:val="FF0000"/>
              </w:rPr>
            </w:pPr>
            <w:r w:rsidRPr="00BA5B2D">
              <w:rPr>
                <w:rFonts w:ascii="Times New Roman" w:hAnsi="Times New Roman" w:cs="Times New Roman"/>
              </w:rPr>
              <w:t>Zákon č. 357/2005 Sb. je přitom citován plným názvem.</w:t>
            </w:r>
          </w:p>
        </w:tc>
      </w:tr>
      <w:tr w:rsidR="00164BE1" w:rsidRPr="00193384" w14:paraId="47FF244E"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D53CE5D" w14:textId="581CD3DB" w:rsidR="00164BE1" w:rsidRDefault="0006105B" w:rsidP="00081217">
            <w:pPr>
              <w:pStyle w:val="Bezmezer"/>
              <w:rPr>
                <w:rFonts w:ascii="Times New Roman" w:hAnsi="Times New Roman" w:cs="Times New Roman"/>
                <w:b/>
                <w:bCs/>
              </w:rPr>
            </w:pPr>
            <w:r>
              <w:rPr>
                <w:rFonts w:ascii="Times New Roman" w:hAnsi="Times New Roman" w:cs="Times New Roman"/>
                <w:b/>
                <w:bCs/>
              </w:rPr>
              <w:t>Českomoravská konfederace odborových svazů</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2320AF5C" w14:textId="3512A13B" w:rsidR="00164BE1" w:rsidRDefault="0006105B" w:rsidP="00081217">
            <w:pPr>
              <w:pStyle w:val="Bezmezer"/>
              <w:rPr>
                <w:rFonts w:ascii="Times New Roman" w:hAnsi="Times New Roman" w:cs="Times New Roman"/>
              </w:rPr>
            </w:pPr>
            <w:r>
              <w:rPr>
                <w:rFonts w:ascii="Times New Roman" w:hAnsi="Times New Roman" w:cs="Times New Roman"/>
              </w:rPr>
              <w:t xml:space="preserve">K </w:t>
            </w:r>
            <w:r w:rsidR="005E5DCB">
              <w:rPr>
                <w:rFonts w:ascii="Times New Roman" w:hAnsi="Times New Roman" w:cs="Times New Roman"/>
              </w:rPr>
              <w:t>návrhu</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2CB42E04" w14:textId="77777777" w:rsidR="00164BE1" w:rsidRPr="00164BE1" w:rsidRDefault="00164BE1" w:rsidP="001A240C">
            <w:pPr>
              <w:tabs>
                <w:tab w:val="left" w:pos="709"/>
                <w:tab w:val="left" w:pos="1134"/>
              </w:tabs>
              <w:suppressAutoHyphens/>
              <w:spacing w:before="120" w:after="120"/>
              <w:ind w:right="140" w:firstLine="391"/>
              <w:jc w:val="both"/>
              <w:rPr>
                <w:rFonts w:ascii="Times New Roman" w:eastAsia="Calibri" w:hAnsi="Times New Roman" w:cs="font217"/>
                <w:kern w:val="1"/>
              </w:rPr>
            </w:pPr>
            <w:r w:rsidRPr="00164BE1">
              <w:rPr>
                <w:rFonts w:ascii="Times New Roman" w:eastAsia="Calibri" w:hAnsi="Times New Roman" w:cs="font217"/>
                <w:b/>
                <w:bCs/>
                <w:kern w:val="1"/>
              </w:rPr>
              <w:t>ČMKOS zásadně nesouhlasí s předloženým návrhem zákona</w:t>
            </w:r>
            <w:r w:rsidRPr="00164BE1">
              <w:rPr>
                <w:rFonts w:ascii="Times New Roman" w:eastAsia="Calibri" w:hAnsi="Times New Roman" w:cs="font217"/>
                <w:kern w:val="1"/>
              </w:rPr>
              <w:t xml:space="preserve">, který je v rozporu s principy, na nichž je české důchodové pojištění založeno, a s Ústavním pořádkem České republiky. </w:t>
            </w:r>
          </w:p>
          <w:p w14:paraId="5CA0E044" w14:textId="2FD3A49F" w:rsidR="00164BE1" w:rsidRPr="00164BE1" w:rsidRDefault="00164BE1" w:rsidP="001A240C">
            <w:pPr>
              <w:tabs>
                <w:tab w:val="left" w:pos="709"/>
                <w:tab w:val="left" w:pos="1134"/>
              </w:tabs>
              <w:suppressAutoHyphens/>
              <w:spacing w:before="120" w:after="120"/>
              <w:ind w:right="140" w:firstLine="391"/>
              <w:jc w:val="both"/>
              <w:rPr>
                <w:rFonts w:ascii="Times New Roman" w:eastAsia="Calibri" w:hAnsi="Times New Roman" w:cs="font217"/>
                <w:b/>
                <w:bCs/>
                <w:kern w:val="1"/>
                <w:u w:val="single"/>
              </w:rPr>
            </w:pPr>
            <w:r w:rsidRPr="00164BE1">
              <w:rPr>
                <w:rFonts w:ascii="Times New Roman" w:eastAsia="Calibri" w:hAnsi="Times New Roman" w:cs="font217"/>
                <w:b/>
                <w:bCs/>
                <w:kern w:val="1"/>
                <w:u w:val="single"/>
              </w:rPr>
              <w:t>Tato připomínka je zásadní.</w:t>
            </w:r>
          </w:p>
          <w:p w14:paraId="01708CD2" w14:textId="018A405B" w:rsidR="00164BE1" w:rsidRPr="00164BE1" w:rsidRDefault="00164BE1" w:rsidP="001A240C">
            <w:pPr>
              <w:tabs>
                <w:tab w:val="left" w:pos="709"/>
                <w:tab w:val="left" w:pos="1134"/>
              </w:tabs>
              <w:suppressAutoHyphens/>
              <w:spacing w:before="120" w:after="120"/>
              <w:ind w:right="140"/>
              <w:jc w:val="both"/>
              <w:rPr>
                <w:rFonts w:ascii="Times New Roman" w:eastAsia="Calibri" w:hAnsi="Times New Roman" w:cs="font217"/>
                <w:b/>
                <w:bCs/>
                <w:i/>
                <w:iCs/>
                <w:kern w:val="1"/>
              </w:rPr>
            </w:pPr>
            <w:r w:rsidRPr="00164BE1">
              <w:rPr>
                <w:rFonts w:ascii="Times New Roman" w:eastAsia="Calibri" w:hAnsi="Times New Roman" w:cs="font217"/>
                <w:b/>
                <w:bCs/>
                <w:i/>
                <w:iCs/>
                <w:kern w:val="1"/>
              </w:rPr>
              <w:t>Odůvodnění:</w:t>
            </w:r>
            <w:r w:rsidR="001A240C">
              <w:rPr>
                <w:rFonts w:ascii="Times New Roman" w:eastAsia="Calibri" w:hAnsi="Times New Roman" w:cs="font217"/>
                <w:b/>
                <w:bCs/>
                <w:i/>
                <w:iCs/>
                <w:kern w:val="1"/>
              </w:rPr>
              <w:t xml:space="preserve"> </w:t>
            </w:r>
            <w:r w:rsidRPr="00164BE1">
              <w:rPr>
                <w:rFonts w:ascii="Times New Roman" w:eastAsia="Calibri" w:hAnsi="Times New Roman" w:cs="font217"/>
                <w:kern w:val="1"/>
              </w:rPr>
              <w:t xml:space="preserve">ČMKOS považuje za nepřijatelné, že MPSV při přípravě předloženého návrhu zákona ignorovalo sociální dialog v tak důležité oblasti, jakou představují důchody a důchodová reforma, a že obchází standardní legislativní proces, k němuž se vláda zavázala ve svém programovém prohlášení. </w:t>
            </w:r>
          </w:p>
          <w:p w14:paraId="55D70943" w14:textId="77777777" w:rsidR="00164BE1" w:rsidRPr="00164BE1" w:rsidRDefault="00164BE1" w:rsidP="001A240C">
            <w:pPr>
              <w:tabs>
                <w:tab w:val="left" w:pos="709"/>
                <w:tab w:val="left" w:pos="1134"/>
              </w:tabs>
              <w:suppressAutoHyphens/>
              <w:spacing w:before="120" w:after="120"/>
              <w:ind w:right="140" w:firstLine="391"/>
              <w:jc w:val="both"/>
              <w:rPr>
                <w:rFonts w:ascii="Times New Roman" w:eastAsia="Calibri" w:hAnsi="Times New Roman" w:cs="font217"/>
                <w:kern w:val="1"/>
              </w:rPr>
            </w:pPr>
            <w:r w:rsidRPr="00164BE1">
              <w:rPr>
                <w:rFonts w:ascii="Times New Roman" w:eastAsia="Calibri" w:hAnsi="Times New Roman" w:cs="font217"/>
                <w:kern w:val="1"/>
              </w:rPr>
              <w:t xml:space="preserve">Zasláním návrhu zákona do připomínkového řízení v délce jednoho dne není naplněn požadavek § 320 odst. 1 zákoníku práce, podle kterého se návrhy zákonů týkajících se důležitých zájmů pracujících projednávají s příslušnými odborovými organizacemi a organizacemi zaměstnavatelů. </w:t>
            </w:r>
          </w:p>
          <w:p w14:paraId="358B394A" w14:textId="77777777" w:rsidR="00164BE1" w:rsidRPr="00164BE1" w:rsidRDefault="00164BE1" w:rsidP="001A240C">
            <w:pPr>
              <w:tabs>
                <w:tab w:val="left" w:pos="709"/>
                <w:tab w:val="left" w:pos="1134"/>
              </w:tabs>
              <w:suppressAutoHyphens/>
              <w:spacing w:before="120" w:after="120"/>
              <w:ind w:right="140" w:firstLine="391"/>
              <w:jc w:val="both"/>
              <w:rPr>
                <w:rFonts w:ascii="Times New Roman" w:eastAsia="Calibri" w:hAnsi="Times New Roman" w:cs="font217"/>
                <w:kern w:val="1"/>
              </w:rPr>
            </w:pPr>
            <w:r w:rsidRPr="00164BE1">
              <w:rPr>
                <w:rFonts w:ascii="Times New Roman" w:eastAsia="Calibri" w:hAnsi="Times New Roman" w:cs="font217"/>
                <w:kern w:val="1"/>
              </w:rPr>
              <w:t xml:space="preserve">Znemožněním projednání navrhované právní úpravy Legislativní radou vlády je pak znemožněno zodpovědné </w:t>
            </w:r>
            <w:r w:rsidRPr="00164BE1">
              <w:rPr>
                <w:rFonts w:ascii="Times New Roman" w:eastAsia="Calibri" w:hAnsi="Times New Roman" w:cs="font217"/>
                <w:kern w:val="1"/>
              </w:rPr>
              <w:lastRenderedPageBreak/>
              <w:t xml:space="preserve">posouzení zejména ústavnosti navrhované právní úpravy, pokud jde o nerespektování legitimního očekávání na straně důchodců, týkajícího se výše zákonem stanovené valorizace jejich důchodů, jehož zásadní význam zdůraznil v minulosti Ústavní soud ČR v řadě svých nálezů. Důvodová zpráva ani nezakrývá skutečnost, že cílem navrhované úpravy není důchodová reforma, ale snaha o snížení letošního schodku státního rozpočtu, který nepochopitelně s výdaji na červnovou valorizaci důchodů nepočítá, i když již v době, kdy byl státní rozpočet na rok 2023 schvalován, bylo zřejmé, že i v tomto roce bude inflace dramaticky vysoká. </w:t>
            </w:r>
          </w:p>
          <w:p w14:paraId="3921AB0B" w14:textId="77777777" w:rsidR="00164BE1" w:rsidRPr="00164BE1" w:rsidRDefault="00164BE1" w:rsidP="001A240C">
            <w:pPr>
              <w:tabs>
                <w:tab w:val="left" w:pos="709"/>
                <w:tab w:val="left" w:pos="1134"/>
              </w:tabs>
              <w:suppressAutoHyphens/>
              <w:spacing w:before="120" w:after="120"/>
              <w:ind w:right="140" w:firstLine="391"/>
              <w:jc w:val="both"/>
              <w:rPr>
                <w:rFonts w:ascii="Times New Roman" w:eastAsia="Calibri" w:hAnsi="Times New Roman" w:cs="font217"/>
                <w:kern w:val="1"/>
              </w:rPr>
            </w:pPr>
            <w:r w:rsidRPr="00164BE1">
              <w:rPr>
                <w:rFonts w:ascii="Times New Roman" w:eastAsia="Calibri" w:hAnsi="Times New Roman" w:cs="font217"/>
                <w:b/>
                <w:bCs/>
                <w:kern w:val="1"/>
              </w:rPr>
              <w:t xml:space="preserve">Nejde </w:t>
            </w:r>
            <w:r w:rsidRPr="00164BE1">
              <w:rPr>
                <w:rFonts w:ascii="Times New Roman" w:eastAsia="Calibri" w:hAnsi="Times New Roman" w:cs="font217"/>
                <w:kern w:val="1"/>
              </w:rPr>
              <w:t>tedy ve své podstatě</w:t>
            </w:r>
            <w:r w:rsidRPr="00164BE1">
              <w:rPr>
                <w:rFonts w:ascii="Times New Roman" w:eastAsia="Calibri" w:hAnsi="Times New Roman" w:cs="font217"/>
                <w:b/>
                <w:bCs/>
                <w:kern w:val="1"/>
              </w:rPr>
              <w:t xml:space="preserve"> o opatření směřující k reformě či modernizaci českého důchodového systému, ale o krok fiskální politiky vlády, která </w:t>
            </w:r>
            <w:proofErr w:type="gramStart"/>
            <w:r w:rsidRPr="00164BE1">
              <w:rPr>
                <w:rFonts w:ascii="Times New Roman" w:eastAsia="Calibri" w:hAnsi="Times New Roman" w:cs="font217"/>
                <w:b/>
                <w:bCs/>
                <w:kern w:val="1"/>
              </w:rPr>
              <w:t>neřeší</w:t>
            </w:r>
            <w:proofErr w:type="gramEnd"/>
            <w:r w:rsidRPr="00164BE1">
              <w:rPr>
                <w:rFonts w:ascii="Times New Roman" w:eastAsia="Calibri" w:hAnsi="Times New Roman" w:cs="font217"/>
                <w:b/>
                <w:bCs/>
                <w:kern w:val="1"/>
              </w:rPr>
              <w:t xml:space="preserve"> problémy nerovnováhy veřejných financí, na nichž se sama výrazně podílí svými opatřeními v daňové oblasti i v oblasti důchodového pojištění, která „na dluh“ snižují příjmy státního rozpočtu</w:t>
            </w:r>
            <w:r w:rsidRPr="00164BE1">
              <w:rPr>
                <w:rFonts w:ascii="Times New Roman" w:eastAsia="Calibri" w:hAnsi="Times New Roman" w:cs="font217"/>
                <w:kern w:val="1"/>
              </w:rPr>
              <w:t>. Z pohledu ústavních principů takový přístup nese znaky svévole, kterou Ústavní soud ve svých Nálezech opakovaně označuje za nepřípustnou.</w:t>
            </w:r>
          </w:p>
          <w:p w14:paraId="5BAB92B2" w14:textId="77777777" w:rsidR="00164BE1" w:rsidRPr="00164BE1" w:rsidRDefault="00164BE1" w:rsidP="001A240C">
            <w:pPr>
              <w:tabs>
                <w:tab w:val="left" w:pos="709"/>
                <w:tab w:val="left" w:pos="1134"/>
              </w:tabs>
              <w:suppressAutoHyphens/>
              <w:spacing w:before="120" w:after="120"/>
              <w:ind w:right="140" w:firstLine="391"/>
              <w:jc w:val="both"/>
              <w:rPr>
                <w:rFonts w:ascii="Times New Roman" w:eastAsia="Calibri" w:hAnsi="Times New Roman" w:cs="font217"/>
                <w:kern w:val="1"/>
              </w:rPr>
            </w:pPr>
            <w:r w:rsidRPr="00164BE1">
              <w:rPr>
                <w:rFonts w:ascii="Times New Roman" w:eastAsia="Calibri" w:hAnsi="Times New Roman" w:cs="font217"/>
                <w:kern w:val="1"/>
              </w:rPr>
              <w:t>ČMKOS zdůrazňuje, že v rozporu s tvrzeními předkladatele uvedenými v důvodové zprávě byl valorizační mechanismus mimořádného zvyšování důchodů do zákona o důchodovém pojištění zahrnut vědomě, aby chránil důchodce, kteří již zpravidla jiné prostředky účinné obrany proti extrémní inflaci než příjmy plynoucí z jejich starobního důchodu, na rozdíl od osob v aktivním věku, nemají, před pádem do chudoby. Proto není věcný důvod tento mechanismus měnit. V této souvislosti nelze akceptovat ani ujišťování ze strany vlády, že má jít o jednorázové opatření ve vztahu k valorizaci důchodů, vzhledem k tomu, že pro vládu překvapivě vysoká inflace trvá i nadále a situace roku 2022 se může opakovat.</w:t>
            </w:r>
          </w:p>
          <w:p w14:paraId="60279E5D" w14:textId="77777777" w:rsidR="00164BE1" w:rsidRPr="00164BE1" w:rsidRDefault="00164BE1" w:rsidP="001A240C">
            <w:pPr>
              <w:tabs>
                <w:tab w:val="left" w:pos="709"/>
                <w:tab w:val="left" w:pos="1134"/>
              </w:tabs>
              <w:suppressAutoHyphens/>
              <w:spacing w:before="120" w:after="120"/>
              <w:ind w:right="140" w:firstLine="391"/>
              <w:jc w:val="both"/>
              <w:rPr>
                <w:rFonts w:ascii="Times New Roman" w:eastAsia="Calibri" w:hAnsi="Times New Roman" w:cs="Times New Roman"/>
                <w:kern w:val="1"/>
              </w:rPr>
            </w:pPr>
            <w:r w:rsidRPr="00164BE1">
              <w:rPr>
                <w:rFonts w:ascii="Times New Roman" w:eastAsia="Calibri" w:hAnsi="Times New Roman" w:cs="font217"/>
                <w:b/>
                <w:bCs/>
                <w:kern w:val="1"/>
              </w:rPr>
              <w:lastRenderedPageBreak/>
              <w:t>Pokud jde o r</w:t>
            </w:r>
            <w:r w:rsidRPr="00164BE1">
              <w:rPr>
                <w:rFonts w:ascii="Times New Roman" w:eastAsia="Calibri" w:hAnsi="Times New Roman" w:cs="Times New Roman"/>
                <w:b/>
                <w:bCs/>
                <w:kern w:val="1"/>
              </w:rPr>
              <w:t xml:space="preserve">ozpor navrhované právní úpravy s Ústavním pořádkem a otázku legitimního očekávání důchodců </w:t>
            </w:r>
            <w:r w:rsidRPr="00164BE1">
              <w:rPr>
                <w:rFonts w:ascii="Times New Roman" w:eastAsia="Calibri" w:hAnsi="Times New Roman" w:cs="Times New Roman"/>
                <w:kern w:val="1"/>
              </w:rPr>
              <w:t xml:space="preserve">ve vztahu k výši mimořádné valorizace, ČMKOS zdůrazňuje zejména, že </w:t>
            </w:r>
          </w:p>
          <w:p w14:paraId="6AF33E9C" w14:textId="77777777" w:rsidR="00164BE1" w:rsidRPr="00164BE1" w:rsidRDefault="00164BE1" w:rsidP="00D95B3F">
            <w:pPr>
              <w:numPr>
                <w:ilvl w:val="0"/>
                <w:numId w:val="36"/>
              </w:numPr>
              <w:spacing w:before="120" w:after="120"/>
              <w:ind w:left="0" w:right="140" w:firstLine="268"/>
              <w:contextualSpacing/>
              <w:jc w:val="both"/>
              <w:rPr>
                <w:rFonts w:ascii="Times New Roman" w:eastAsia="Calibri" w:hAnsi="Times New Roman" w:cs="Times New Roman"/>
                <w:kern w:val="1"/>
              </w:rPr>
            </w:pPr>
            <w:r w:rsidRPr="00164BE1">
              <w:rPr>
                <w:rFonts w:ascii="Times New Roman" w:eastAsia="Calibri" w:hAnsi="Times New Roman" w:cs="Times New Roman"/>
                <w:b/>
                <w:bCs/>
                <w:kern w:val="1"/>
              </w:rPr>
              <w:t>všechny rozhodné skutečnosti, které zakládají povinnost vlády provést nařízením vlády zvýšení důchodů, již nastaly, a je tak známo, od kdy a o jaké částky mají být důchody zvýšeny</w:t>
            </w:r>
            <w:r w:rsidRPr="00164BE1">
              <w:rPr>
                <w:rFonts w:ascii="Times New Roman" w:eastAsia="Calibri" w:hAnsi="Times New Roman" w:cs="Times New Roman"/>
                <w:kern w:val="1"/>
              </w:rPr>
              <w:t xml:space="preserve">. Sama důvodová zpráva uvádí i správnou výši zvýšení procentní výměry důchodů, která podle platné a účinné právní úpravy důchodcům náleží (11,5 %); MPSV přesto v rozporu s tím v reakci na finanční dopad zákonné úpravy, s nímž státní rozpočet nepočítá, a který tak narušuje vládou proklamovanou celkovou výši schodku státního rozpočtu za rok 2023 (295 mld. Kč.), chce zákonné podmínky zpětně změnit (retroaktivita právní úpravy je podle konstantní judikatury Ústavního soudu ČR nepřípustná), </w:t>
            </w:r>
          </w:p>
          <w:p w14:paraId="10B5C4EF" w14:textId="77777777" w:rsidR="00164BE1" w:rsidRPr="00164BE1" w:rsidRDefault="00164BE1" w:rsidP="00D95B3F">
            <w:pPr>
              <w:numPr>
                <w:ilvl w:val="0"/>
                <w:numId w:val="36"/>
              </w:numPr>
              <w:spacing w:before="120" w:after="120"/>
              <w:ind w:left="0" w:right="140" w:firstLine="268"/>
              <w:contextualSpacing/>
              <w:jc w:val="both"/>
              <w:rPr>
                <w:rFonts w:ascii="Times New Roman" w:eastAsia="Calibri" w:hAnsi="Times New Roman" w:cs="Times New Roman"/>
                <w:kern w:val="1"/>
              </w:rPr>
            </w:pPr>
            <w:r w:rsidRPr="00164BE1">
              <w:rPr>
                <w:rFonts w:ascii="Times New Roman" w:eastAsia="Calibri" w:hAnsi="Times New Roman" w:cs="Times New Roman"/>
                <w:kern w:val="1"/>
              </w:rPr>
              <w:t xml:space="preserve">místo toho, aby ve lhůtě určené k vydání prováděcího nařízení vlády, kterým je vláda na základě platné a účinné právní úpravy povinna zvýšit procentuální výměru starobního důchodu o zákonem stanovenou výši, </w:t>
            </w:r>
            <w:r w:rsidRPr="00164BE1">
              <w:rPr>
                <w:rFonts w:ascii="Times New Roman" w:eastAsia="Calibri" w:hAnsi="Times New Roman" w:cs="Times New Roman"/>
                <w:b/>
                <w:bCs/>
                <w:kern w:val="1"/>
              </w:rPr>
              <w:t>provádí vláda navrhovaným zákonem pro první mimořádné zvýšení důchodů v letošním roce účelově a zpětně</w:t>
            </w:r>
            <w:r w:rsidRPr="00164BE1">
              <w:rPr>
                <w:rFonts w:ascii="Times New Roman" w:eastAsia="Calibri" w:hAnsi="Times New Roman" w:cs="Times New Roman"/>
                <w:kern w:val="1"/>
              </w:rPr>
              <w:t xml:space="preserve"> změnu ustanovení zákona, dle něhož má při tomto zvýšení důchodů postupovat,</w:t>
            </w:r>
          </w:p>
          <w:p w14:paraId="2850CBC8" w14:textId="77777777" w:rsidR="00164BE1" w:rsidRPr="00164BE1" w:rsidRDefault="00164BE1" w:rsidP="00D95B3F">
            <w:pPr>
              <w:numPr>
                <w:ilvl w:val="0"/>
                <w:numId w:val="36"/>
              </w:numPr>
              <w:spacing w:before="120" w:after="120"/>
              <w:ind w:left="0" w:right="140" w:firstLine="268"/>
              <w:contextualSpacing/>
              <w:jc w:val="both"/>
              <w:rPr>
                <w:rFonts w:ascii="Times New Roman" w:eastAsia="Calibri" w:hAnsi="Times New Roman" w:cs="Times New Roman"/>
                <w:kern w:val="1"/>
              </w:rPr>
            </w:pPr>
            <w:r w:rsidRPr="00164BE1">
              <w:rPr>
                <w:rFonts w:ascii="Times New Roman" w:eastAsia="Calibri" w:hAnsi="Times New Roman" w:cs="Times New Roman"/>
                <w:kern w:val="1"/>
              </w:rPr>
              <w:t>snížením zvýšení procentní výměry ze zákonem stanovených 11,5 % na 2,3 % je porušena platná a účinná právní úprava zvyšování důchodů obsažená v § 67 zákona o důchodovém pojištění,</w:t>
            </w:r>
          </w:p>
          <w:p w14:paraId="3EA69205" w14:textId="77777777" w:rsidR="00164BE1" w:rsidRPr="00164BE1" w:rsidRDefault="00164BE1" w:rsidP="00D95B3F">
            <w:pPr>
              <w:numPr>
                <w:ilvl w:val="0"/>
                <w:numId w:val="36"/>
              </w:numPr>
              <w:spacing w:before="120" w:after="120"/>
              <w:ind w:left="0" w:right="140" w:firstLine="268"/>
              <w:contextualSpacing/>
              <w:jc w:val="both"/>
              <w:rPr>
                <w:rFonts w:ascii="Times New Roman" w:eastAsia="Calibri" w:hAnsi="Times New Roman" w:cs="Times New Roman"/>
                <w:kern w:val="1"/>
              </w:rPr>
            </w:pPr>
            <w:r w:rsidRPr="00164BE1">
              <w:rPr>
                <w:rFonts w:ascii="Times New Roman" w:eastAsia="Calibri" w:hAnsi="Times New Roman" w:cs="Times New Roman"/>
                <w:kern w:val="1"/>
              </w:rPr>
              <w:t xml:space="preserve">skutečnost, že u nízkých důchodů je zachována výše zvýšení důchodu stanovená dnes platnou a účinnou právní úpravou, zatímco u vyšších důchodů v rozporu se zákonem zvýšení důchodu klesá, </w:t>
            </w:r>
            <w:r w:rsidRPr="00164BE1">
              <w:rPr>
                <w:rFonts w:ascii="Times New Roman" w:eastAsia="Calibri" w:hAnsi="Times New Roman" w:cs="Times New Roman"/>
                <w:b/>
                <w:bCs/>
                <w:kern w:val="1"/>
              </w:rPr>
              <w:t>dochází nejen k značnému narušení zásluhovosti důchodu založené při přiznání důchodu, ale i narušení ústavněprávní zásady rovnosti</w:t>
            </w:r>
            <w:r w:rsidRPr="00164BE1">
              <w:rPr>
                <w:rFonts w:ascii="Times New Roman" w:eastAsia="Calibri" w:hAnsi="Times New Roman" w:cs="Times New Roman"/>
                <w:kern w:val="1"/>
              </w:rPr>
              <w:t xml:space="preserve"> (u nižších důchodů se jedná o poškození důchodců měsíčně max. o několik set Kč, u </w:t>
            </w:r>
            <w:r w:rsidRPr="00164BE1">
              <w:rPr>
                <w:rFonts w:ascii="Times New Roman" w:eastAsia="Calibri" w:hAnsi="Times New Roman" w:cs="Times New Roman"/>
                <w:kern w:val="1"/>
              </w:rPr>
              <w:lastRenderedPageBreak/>
              <w:t xml:space="preserve">průměrného důchodu o 1 000 Kč měsíčně, a u vyšších důchodů až o 3 000 Kč měsíčně).  </w:t>
            </w:r>
          </w:p>
          <w:p w14:paraId="173CA5E8" w14:textId="77777777" w:rsidR="00164BE1" w:rsidRPr="00164BE1" w:rsidRDefault="00164BE1" w:rsidP="00D95B3F">
            <w:pPr>
              <w:tabs>
                <w:tab w:val="left" w:pos="709"/>
                <w:tab w:val="left" w:pos="1134"/>
              </w:tabs>
              <w:suppressAutoHyphens/>
              <w:spacing w:before="360" w:after="120"/>
              <w:ind w:right="140" w:firstLine="268"/>
              <w:jc w:val="both"/>
              <w:rPr>
                <w:rFonts w:ascii="Times New Roman" w:eastAsia="Calibri" w:hAnsi="Times New Roman" w:cs="Times New Roman"/>
                <w:b/>
                <w:bCs/>
                <w:kern w:val="1"/>
              </w:rPr>
            </w:pPr>
            <w:r w:rsidRPr="00164BE1">
              <w:rPr>
                <w:rFonts w:ascii="Times New Roman" w:eastAsia="Calibri" w:hAnsi="Times New Roman" w:cs="Times New Roman"/>
                <w:b/>
                <w:bCs/>
                <w:kern w:val="1"/>
              </w:rPr>
              <w:t>Další důvody pro odmítnutí návrhu zákona:</w:t>
            </w:r>
          </w:p>
          <w:p w14:paraId="0CB571D4" w14:textId="77777777" w:rsidR="00164BE1" w:rsidRPr="00164BE1" w:rsidRDefault="00164BE1" w:rsidP="00D95B3F">
            <w:pPr>
              <w:numPr>
                <w:ilvl w:val="0"/>
                <w:numId w:val="36"/>
              </w:numPr>
              <w:spacing w:before="120" w:after="120"/>
              <w:ind w:left="0" w:right="140" w:firstLine="268"/>
              <w:contextualSpacing/>
              <w:jc w:val="both"/>
              <w:rPr>
                <w:rFonts w:ascii="Times New Roman" w:eastAsia="Calibri" w:hAnsi="Times New Roman" w:cs="Times New Roman"/>
                <w:kern w:val="1"/>
              </w:rPr>
            </w:pPr>
            <w:r w:rsidRPr="00164BE1">
              <w:rPr>
                <w:rFonts w:ascii="Times New Roman" w:eastAsia="Calibri" w:hAnsi="Times New Roman" w:cs="Times New Roman"/>
                <w:kern w:val="1"/>
              </w:rPr>
              <w:t xml:space="preserve">podle § 67 odst. 3 zákona o důchodovém pojištění se zvyšují mimo pravidelný termín procentní výměry vyplácených důchodů, pokud v období pro zjišťování růstu cen stanoveném podle </w:t>
            </w:r>
            <w:hyperlink r:id="rId8" w:anchor="paragraf-67H4" w:history="1">
              <w:r w:rsidRPr="00164BE1">
                <w:rPr>
                  <w:rFonts w:ascii="Times New Roman" w:eastAsia="Calibri" w:hAnsi="Times New Roman" w:cs="Times New Roman"/>
                  <w:kern w:val="1"/>
                </w:rPr>
                <w:t>odstavce 4</w:t>
              </w:r>
            </w:hyperlink>
            <w:r w:rsidRPr="00164BE1">
              <w:rPr>
                <w:rFonts w:ascii="Times New Roman" w:eastAsia="Calibri" w:hAnsi="Times New Roman" w:cs="Times New Roman"/>
                <w:kern w:val="1"/>
              </w:rPr>
              <w:t xml:space="preserve"> dosáhl růst cen aspoň 5 % a podle odstavce 10 se procentní výměry všech vyplácených důchodů při zvýšení důchodů v mimořádném termínu zvýší o tolik procent, kolik činí růst cen podle </w:t>
            </w:r>
            <w:hyperlink r:id="rId9" w:anchor="paragraf-67H6" w:history="1">
              <w:r w:rsidRPr="00164BE1">
                <w:rPr>
                  <w:rFonts w:ascii="Times New Roman" w:eastAsia="Calibri" w:hAnsi="Times New Roman" w:cs="Times New Roman"/>
                  <w:kern w:val="1"/>
                </w:rPr>
                <w:t>odstavce 6</w:t>
              </w:r>
            </w:hyperlink>
            <w:r w:rsidRPr="00164BE1">
              <w:rPr>
                <w:rFonts w:ascii="Times New Roman" w:eastAsia="Calibri" w:hAnsi="Times New Roman" w:cs="Times New Roman"/>
                <w:kern w:val="1"/>
              </w:rPr>
              <w:t xml:space="preserve">. </w:t>
            </w:r>
            <w:r w:rsidRPr="00164BE1">
              <w:rPr>
                <w:rFonts w:ascii="Times New Roman" w:eastAsia="Calibri" w:hAnsi="Times New Roman" w:cs="Times New Roman"/>
                <w:b/>
                <w:bCs/>
                <w:kern w:val="1"/>
              </w:rPr>
              <w:t>tj. zákon ukládá navyšovat pouze procentní výměru důchodu</w:t>
            </w:r>
            <w:r w:rsidRPr="00164BE1">
              <w:rPr>
                <w:rFonts w:ascii="Times New Roman" w:eastAsia="Calibri" w:hAnsi="Times New Roman" w:cs="Times New Roman"/>
                <w:kern w:val="1"/>
              </w:rPr>
              <w:t xml:space="preserve">, nikoliv však o pevnou částku, jak navrhuje MPSV o 400 Kč pro všechny důchody; to je v rozporu s principem zásluhovosti, jak je vymezen v podmínkách nároku na příslušný důchod – </w:t>
            </w:r>
            <w:r w:rsidRPr="00164BE1">
              <w:rPr>
                <w:rFonts w:ascii="Times New Roman" w:eastAsia="Calibri" w:hAnsi="Times New Roman" w:cs="Times New Roman"/>
                <w:b/>
                <w:bCs/>
                <w:kern w:val="1"/>
              </w:rPr>
              <w:t>nejde tedy jen o změnu valorizace, ale nepřímo i změnu výpočtu důchodu</w:t>
            </w:r>
            <w:r w:rsidRPr="00164BE1">
              <w:rPr>
                <w:rFonts w:ascii="Times New Roman" w:eastAsia="Calibri" w:hAnsi="Times New Roman" w:cs="Times New Roman"/>
                <w:kern w:val="1"/>
              </w:rPr>
              <w:t>. Zásluhovost vyšších důchodu se tak snižuje v rozporu se zněním platného a účinného zákona,</w:t>
            </w:r>
          </w:p>
          <w:p w14:paraId="27DC7C80" w14:textId="77777777" w:rsidR="00164BE1" w:rsidRPr="00164BE1" w:rsidRDefault="00164BE1" w:rsidP="00D95B3F">
            <w:pPr>
              <w:numPr>
                <w:ilvl w:val="0"/>
                <w:numId w:val="36"/>
              </w:numPr>
              <w:spacing w:before="120" w:after="120"/>
              <w:ind w:left="0" w:right="140" w:firstLine="268"/>
              <w:contextualSpacing/>
              <w:jc w:val="both"/>
              <w:rPr>
                <w:rFonts w:ascii="Times New Roman" w:eastAsia="Calibri" w:hAnsi="Times New Roman" w:cs="Times New Roman"/>
                <w:kern w:val="1"/>
              </w:rPr>
            </w:pPr>
            <w:r w:rsidRPr="00164BE1">
              <w:rPr>
                <w:rFonts w:ascii="Times New Roman" w:eastAsia="Calibri" w:hAnsi="Times New Roman" w:cs="Times New Roman"/>
                <w:kern w:val="1"/>
              </w:rPr>
              <w:t>jakkoliv se vzbuzuje zdání, že navrhovaná změna podmínek zvyšování důchodů se má týkat pouze letošní červnové valorizace, je zřejmé, že v případě schválení této úpravy a při následném naplnění podmínek pro další mimořádnou valorizaci důchodů v tomto roce, bude vláda postupovat obdobně, protože je zřejmé s ohledem na schválený státní rozpočet, že se jí nebudou dostávat finanční prostředky ani na další případnou valorizaci důchodů v roce 2023,</w:t>
            </w:r>
          </w:p>
          <w:p w14:paraId="50A113F7" w14:textId="77777777" w:rsidR="00164BE1" w:rsidRPr="00164BE1" w:rsidRDefault="00164BE1" w:rsidP="00D95B3F">
            <w:pPr>
              <w:numPr>
                <w:ilvl w:val="0"/>
                <w:numId w:val="36"/>
              </w:numPr>
              <w:spacing w:before="120" w:after="120"/>
              <w:ind w:left="0" w:right="140" w:firstLine="268"/>
              <w:contextualSpacing/>
              <w:jc w:val="both"/>
              <w:rPr>
                <w:rFonts w:ascii="Times New Roman" w:eastAsia="Calibri" w:hAnsi="Times New Roman" w:cs="Times New Roman"/>
                <w:kern w:val="1"/>
              </w:rPr>
            </w:pPr>
            <w:r w:rsidRPr="00164BE1">
              <w:rPr>
                <w:rFonts w:ascii="Times New Roman" w:eastAsia="Calibri" w:hAnsi="Times New Roman" w:cs="Times New Roman"/>
                <w:b/>
                <w:bCs/>
                <w:kern w:val="1"/>
              </w:rPr>
              <w:t>považujeme za nepřijatelné, aby důchodci byli stavěni z hlediska pozitivního vlivu zvyšování důchodů v období vysoké inflace v ČR proti zaměstnancům</w:t>
            </w:r>
            <w:r w:rsidRPr="00164BE1">
              <w:rPr>
                <w:rFonts w:ascii="Times New Roman" w:eastAsia="Calibri" w:hAnsi="Times New Roman" w:cs="Times New Roman"/>
                <w:kern w:val="1"/>
              </w:rPr>
              <w:t xml:space="preserve">, u nichž se ne vždy </w:t>
            </w:r>
            <w:proofErr w:type="gramStart"/>
            <w:r w:rsidRPr="00164BE1">
              <w:rPr>
                <w:rFonts w:ascii="Times New Roman" w:eastAsia="Calibri" w:hAnsi="Times New Roman" w:cs="Times New Roman"/>
                <w:kern w:val="1"/>
              </w:rPr>
              <w:t>daří</w:t>
            </w:r>
            <w:proofErr w:type="gramEnd"/>
            <w:r w:rsidRPr="00164BE1">
              <w:rPr>
                <w:rFonts w:ascii="Times New Roman" w:eastAsia="Calibri" w:hAnsi="Times New Roman" w:cs="Times New Roman"/>
                <w:kern w:val="1"/>
              </w:rPr>
              <w:t xml:space="preserve"> ve mzdách, platech, popř. dalších benefitech kompenzovat plně dopady extrémní inflace, jak tak činí důvodová zpráva i někteří ústavní činitelé ve svých veřejných vystoupeních,  </w:t>
            </w:r>
          </w:p>
          <w:p w14:paraId="4E87BFEC" w14:textId="77777777" w:rsidR="00164BE1" w:rsidRPr="00164BE1" w:rsidRDefault="00164BE1" w:rsidP="00D95B3F">
            <w:pPr>
              <w:numPr>
                <w:ilvl w:val="0"/>
                <w:numId w:val="36"/>
              </w:numPr>
              <w:spacing w:before="120" w:after="120"/>
              <w:ind w:left="0" w:right="140" w:firstLine="268"/>
              <w:contextualSpacing/>
              <w:jc w:val="both"/>
              <w:rPr>
                <w:rFonts w:ascii="Times New Roman" w:eastAsia="Calibri" w:hAnsi="Times New Roman" w:cs="Times New Roman"/>
                <w:kern w:val="1"/>
              </w:rPr>
            </w:pPr>
            <w:r w:rsidRPr="00164BE1">
              <w:rPr>
                <w:rFonts w:ascii="Times New Roman" w:eastAsia="Calibri" w:hAnsi="Times New Roman" w:cs="Times New Roman"/>
                <w:kern w:val="1"/>
              </w:rPr>
              <w:lastRenderedPageBreak/>
              <w:t>stejně tak považujeme za nepřijatelné, aby bylo na podporu navrhované úpravy používáno tvrzení, že finanční náklady na zákonnou valorizaci důchodů mohou způsobit „</w:t>
            </w:r>
            <w:r w:rsidRPr="00164BE1">
              <w:rPr>
                <w:rFonts w:ascii="Times New Roman" w:eastAsia="Calibri" w:hAnsi="Times New Roman" w:cs="Times New Roman"/>
                <w:b/>
                <w:bCs/>
                <w:kern w:val="1"/>
              </w:rPr>
              <w:t>značnou hospodářskou škodu</w:t>
            </w:r>
            <w:r w:rsidRPr="00164BE1">
              <w:rPr>
                <w:rFonts w:ascii="Times New Roman" w:eastAsia="Calibri" w:hAnsi="Times New Roman" w:cs="Times New Roman"/>
                <w:kern w:val="1"/>
              </w:rPr>
              <w:t xml:space="preserve">“. Za prvé to není pravda, protože tuto škodu </w:t>
            </w:r>
            <w:r w:rsidRPr="00164BE1">
              <w:rPr>
                <w:rFonts w:ascii="Times New Roman" w:eastAsia="Calibri" w:hAnsi="Times New Roman" w:cs="Times New Roman"/>
                <w:b/>
                <w:bCs/>
                <w:kern w:val="1"/>
              </w:rPr>
              <w:t>způsobila současná i předchozí vláda nezodpovědným snižováním daní v letech 2021 až 2023</w:t>
            </w:r>
            <w:r w:rsidRPr="00164BE1">
              <w:rPr>
                <w:rFonts w:ascii="Times New Roman" w:eastAsia="Calibri" w:hAnsi="Times New Roman" w:cs="Times New Roman"/>
                <w:kern w:val="1"/>
              </w:rPr>
              <w:t xml:space="preserve"> „na dluh“, které způsobuje každoroční výpadek daňových příjmů v rozsahu až 300 mld. Kč a za druhé, </w:t>
            </w:r>
            <w:r w:rsidRPr="00164BE1">
              <w:rPr>
                <w:rFonts w:ascii="Times New Roman" w:eastAsia="Calibri" w:hAnsi="Times New Roman" w:cs="Times New Roman"/>
                <w:b/>
                <w:bCs/>
                <w:kern w:val="1"/>
              </w:rPr>
              <w:t>důchodci</w:t>
            </w:r>
            <w:r w:rsidRPr="00164BE1">
              <w:rPr>
                <w:rFonts w:ascii="Times New Roman" w:eastAsia="Calibri" w:hAnsi="Times New Roman" w:cs="Times New Roman"/>
                <w:kern w:val="1"/>
              </w:rPr>
              <w:t xml:space="preserve">, zejména z řad bývalých zaměstnanců, </w:t>
            </w:r>
            <w:r w:rsidRPr="00164BE1">
              <w:rPr>
                <w:rFonts w:ascii="Times New Roman" w:eastAsia="Calibri" w:hAnsi="Times New Roman" w:cs="Times New Roman"/>
                <w:b/>
                <w:bCs/>
                <w:kern w:val="1"/>
              </w:rPr>
              <w:t>se dlouhodobě rozhodující měrou podíleli a podílejí na financování veřejných financí ČR</w:t>
            </w:r>
            <w:r w:rsidRPr="00164BE1">
              <w:rPr>
                <w:rFonts w:ascii="Times New Roman" w:eastAsia="Calibri" w:hAnsi="Times New Roman" w:cs="Times New Roman"/>
                <w:kern w:val="1"/>
              </w:rPr>
              <w:t>.</w:t>
            </w:r>
          </w:p>
          <w:p w14:paraId="37F433A4" w14:textId="029C98BB" w:rsidR="00164BE1" w:rsidRPr="0009593C" w:rsidRDefault="00164BE1" w:rsidP="00D95B3F">
            <w:pPr>
              <w:numPr>
                <w:ilvl w:val="0"/>
                <w:numId w:val="36"/>
              </w:numPr>
              <w:spacing w:before="120" w:after="120"/>
              <w:ind w:left="0" w:right="140" w:firstLine="268"/>
              <w:contextualSpacing/>
              <w:jc w:val="both"/>
              <w:rPr>
                <w:rFonts w:ascii="Times New Roman" w:eastAsia="Calibri" w:hAnsi="Times New Roman" w:cs="font217"/>
                <w:kern w:val="1"/>
              </w:rPr>
            </w:pPr>
            <w:r w:rsidRPr="00164BE1">
              <w:rPr>
                <w:rFonts w:ascii="Times New Roman" w:eastAsia="Calibri" w:hAnsi="Times New Roman" w:cs="Times New Roman"/>
                <w:b/>
                <w:bCs/>
                <w:kern w:val="1"/>
              </w:rPr>
              <w:t>stabilizace veřejných financí nesmí být dosahována na úkor jedné z nejvíce ekonomicky ohrožené skupiny osob</w:t>
            </w:r>
            <w:r w:rsidRPr="00164BE1">
              <w:rPr>
                <w:rFonts w:ascii="Times New Roman" w:eastAsia="Calibri" w:hAnsi="Times New Roman" w:cs="Times New Roman"/>
                <w:kern w:val="1"/>
              </w:rPr>
              <w:t>; sociální důsledky uvedeného návrhu jsou pro řadu důchodců velmi tíživé a mnoho osob pobírajících důchod se v současnosti kvůli inflaci a růstu cen za energie, bydlení, potraviny, léky a zdravotní pomůcky dostává do obtížné ekonomické situace. Snížením mimořádné valorizace důchodů dojde k poškození stávajících důchodců a ke zhoršení jejich životních podmínek.</w:t>
            </w:r>
            <w:r w:rsidRPr="00164BE1">
              <w:rPr>
                <w:rFonts w:ascii="Times New Roman" w:eastAsia="Calibri" w:hAnsi="Times New Roman" w:cs="font217"/>
                <w:kern w:val="1"/>
              </w:rPr>
              <w:t xml:space="preserve"> </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770694C7" w14:textId="77777777" w:rsidR="009F650A" w:rsidRDefault="009F650A" w:rsidP="009F650A">
            <w:pPr>
              <w:jc w:val="both"/>
              <w:rPr>
                <w:rFonts w:ascii="Times New Roman" w:hAnsi="Times New Roman" w:cs="Times New Roman"/>
                <w:b/>
                <w:bCs/>
              </w:rPr>
            </w:pPr>
          </w:p>
          <w:p w14:paraId="6EF50B42" w14:textId="1F756DEB" w:rsidR="009F650A" w:rsidRPr="009F650A" w:rsidRDefault="009F650A" w:rsidP="009F650A">
            <w:pPr>
              <w:jc w:val="both"/>
              <w:rPr>
                <w:rFonts w:ascii="Times New Roman" w:hAnsi="Times New Roman" w:cs="Times New Roman"/>
                <w:b/>
                <w:bCs/>
              </w:rPr>
            </w:pPr>
            <w:r w:rsidRPr="009F650A">
              <w:rPr>
                <w:rFonts w:ascii="Times New Roman" w:hAnsi="Times New Roman" w:cs="Times New Roman"/>
                <w:b/>
                <w:bCs/>
              </w:rPr>
              <w:t>Neakceptováno.</w:t>
            </w:r>
          </w:p>
          <w:p w14:paraId="0F59C28C" w14:textId="77777777" w:rsidR="009F650A" w:rsidRDefault="009F650A" w:rsidP="009F650A">
            <w:pPr>
              <w:jc w:val="both"/>
              <w:rPr>
                <w:rFonts w:ascii="Times New Roman" w:hAnsi="Times New Roman" w:cs="Times New Roman"/>
              </w:rPr>
            </w:pPr>
          </w:p>
          <w:p w14:paraId="05506341" w14:textId="77777777" w:rsidR="009F650A" w:rsidRDefault="009F650A" w:rsidP="009F650A">
            <w:pPr>
              <w:jc w:val="both"/>
              <w:rPr>
                <w:rFonts w:ascii="Times New Roman" w:hAnsi="Times New Roman" w:cs="Times New Roman"/>
              </w:rPr>
            </w:pPr>
          </w:p>
          <w:p w14:paraId="2AA4E6D8" w14:textId="77777777" w:rsidR="009F650A" w:rsidRDefault="009F650A" w:rsidP="009F650A">
            <w:pPr>
              <w:jc w:val="both"/>
              <w:rPr>
                <w:rFonts w:ascii="Times New Roman" w:hAnsi="Times New Roman" w:cs="Times New Roman"/>
              </w:rPr>
            </w:pPr>
          </w:p>
          <w:p w14:paraId="49BDCCC6" w14:textId="77FC71C1" w:rsidR="009F650A" w:rsidRPr="009F650A" w:rsidRDefault="009F650A" w:rsidP="009F650A">
            <w:pPr>
              <w:jc w:val="both"/>
              <w:rPr>
                <w:rFonts w:ascii="Times New Roman" w:hAnsi="Times New Roman" w:cs="Times New Roman"/>
              </w:rPr>
            </w:pPr>
            <w:r w:rsidRPr="009F650A">
              <w:rPr>
                <w:rFonts w:ascii="Times New Roman" w:hAnsi="Times New Roman" w:cs="Times New Roman"/>
              </w:rPr>
              <w:t>Důvodem maximálního zkrácení legislativního procesu je stihnout vydání nové úpravy do 50 dnů od konce ledna, tj. do 22.3.2023, aby nedošlo k vydání valorizačního nařízení vlády, které by posílilo legitimní očekávání veřejnosti ohledně zvýšení procentních výměr důchodů o plný růst cen. Důsledkem je mimo jiné i nemožnost projednání návrhu se sociálními partnery.</w:t>
            </w:r>
          </w:p>
          <w:p w14:paraId="118D4D95" w14:textId="77777777" w:rsidR="009F650A" w:rsidRDefault="009F650A" w:rsidP="009F650A">
            <w:pPr>
              <w:jc w:val="both"/>
              <w:rPr>
                <w:rFonts w:ascii="Times New Roman" w:hAnsi="Times New Roman" w:cs="Times New Roman"/>
              </w:rPr>
            </w:pPr>
          </w:p>
          <w:p w14:paraId="35089F1F" w14:textId="77777777" w:rsidR="009F650A" w:rsidRDefault="009F650A" w:rsidP="009F650A">
            <w:pPr>
              <w:jc w:val="both"/>
              <w:rPr>
                <w:rFonts w:ascii="Times New Roman" w:hAnsi="Times New Roman" w:cs="Times New Roman"/>
              </w:rPr>
            </w:pPr>
          </w:p>
          <w:p w14:paraId="2ACCB85C" w14:textId="77777777" w:rsidR="009F650A" w:rsidRDefault="009F650A" w:rsidP="009F650A">
            <w:pPr>
              <w:jc w:val="both"/>
              <w:rPr>
                <w:rFonts w:ascii="Times New Roman" w:hAnsi="Times New Roman" w:cs="Times New Roman"/>
              </w:rPr>
            </w:pPr>
          </w:p>
          <w:p w14:paraId="6E904AC0" w14:textId="77777777" w:rsidR="009F650A" w:rsidRDefault="009F650A" w:rsidP="009F650A">
            <w:pPr>
              <w:jc w:val="both"/>
              <w:rPr>
                <w:rFonts w:ascii="Times New Roman" w:hAnsi="Times New Roman" w:cs="Times New Roman"/>
              </w:rPr>
            </w:pPr>
          </w:p>
          <w:p w14:paraId="373A9C64" w14:textId="77777777" w:rsidR="009F650A" w:rsidRDefault="009F650A" w:rsidP="009F650A">
            <w:pPr>
              <w:jc w:val="both"/>
              <w:rPr>
                <w:rFonts w:ascii="Times New Roman" w:hAnsi="Times New Roman" w:cs="Times New Roman"/>
              </w:rPr>
            </w:pPr>
          </w:p>
          <w:p w14:paraId="1A0535BD" w14:textId="77777777" w:rsidR="009F650A" w:rsidRDefault="009F650A" w:rsidP="009F650A">
            <w:pPr>
              <w:jc w:val="both"/>
              <w:rPr>
                <w:rFonts w:ascii="Times New Roman" w:hAnsi="Times New Roman" w:cs="Times New Roman"/>
              </w:rPr>
            </w:pPr>
          </w:p>
          <w:p w14:paraId="62C1281E" w14:textId="77777777" w:rsidR="009F650A" w:rsidRDefault="009F650A" w:rsidP="009F650A">
            <w:pPr>
              <w:jc w:val="both"/>
              <w:rPr>
                <w:rFonts w:ascii="Times New Roman" w:hAnsi="Times New Roman" w:cs="Times New Roman"/>
              </w:rPr>
            </w:pPr>
          </w:p>
          <w:p w14:paraId="7F9CA57E" w14:textId="77777777" w:rsidR="009F650A" w:rsidRDefault="009F650A" w:rsidP="009F650A">
            <w:pPr>
              <w:jc w:val="both"/>
              <w:rPr>
                <w:rFonts w:ascii="Times New Roman" w:hAnsi="Times New Roman" w:cs="Times New Roman"/>
              </w:rPr>
            </w:pPr>
          </w:p>
          <w:p w14:paraId="23B97578" w14:textId="77777777" w:rsidR="009F650A" w:rsidRDefault="009F650A" w:rsidP="009F650A">
            <w:pPr>
              <w:jc w:val="both"/>
              <w:rPr>
                <w:rFonts w:ascii="Times New Roman" w:hAnsi="Times New Roman" w:cs="Times New Roman"/>
              </w:rPr>
            </w:pPr>
          </w:p>
          <w:p w14:paraId="48D075D2" w14:textId="77777777" w:rsidR="009F650A" w:rsidRDefault="009F650A" w:rsidP="009F650A">
            <w:pPr>
              <w:jc w:val="both"/>
              <w:rPr>
                <w:rFonts w:ascii="Times New Roman" w:hAnsi="Times New Roman" w:cs="Times New Roman"/>
              </w:rPr>
            </w:pPr>
          </w:p>
          <w:p w14:paraId="69EBDB99" w14:textId="77777777" w:rsidR="009F650A" w:rsidRDefault="009F650A" w:rsidP="009F650A">
            <w:pPr>
              <w:jc w:val="both"/>
              <w:rPr>
                <w:rFonts w:ascii="Times New Roman" w:hAnsi="Times New Roman" w:cs="Times New Roman"/>
              </w:rPr>
            </w:pPr>
          </w:p>
          <w:p w14:paraId="7C9D2711" w14:textId="77777777" w:rsidR="009F650A" w:rsidRDefault="009F650A" w:rsidP="009F650A">
            <w:pPr>
              <w:jc w:val="both"/>
              <w:rPr>
                <w:rFonts w:ascii="Times New Roman" w:hAnsi="Times New Roman" w:cs="Times New Roman"/>
              </w:rPr>
            </w:pPr>
          </w:p>
          <w:p w14:paraId="3208D4D2" w14:textId="77777777" w:rsidR="009F650A" w:rsidRDefault="009F650A" w:rsidP="009F650A">
            <w:pPr>
              <w:jc w:val="both"/>
              <w:rPr>
                <w:rFonts w:ascii="Times New Roman" w:hAnsi="Times New Roman" w:cs="Times New Roman"/>
              </w:rPr>
            </w:pPr>
          </w:p>
          <w:p w14:paraId="05D8B80A" w14:textId="77777777" w:rsidR="009F650A" w:rsidRDefault="009F650A" w:rsidP="009F650A">
            <w:pPr>
              <w:jc w:val="both"/>
              <w:rPr>
                <w:rFonts w:ascii="Times New Roman" w:hAnsi="Times New Roman" w:cs="Times New Roman"/>
              </w:rPr>
            </w:pPr>
          </w:p>
          <w:p w14:paraId="67567F2A" w14:textId="77777777" w:rsidR="009F650A" w:rsidRDefault="009F650A" w:rsidP="009F650A">
            <w:pPr>
              <w:jc w:val="both"/>
              <w:rPr>
                <w:rFonts w:ascii="Times New Roman" w:hAnsi="Times New Roman" w:cs="Times New Roman"/>
              </w:rPr>
            </w:pPr>
          </w:p>
          <w:p w14:paraId="0B23B6BF" w14:textId="77777777" w:rsidR="009F650A" w:rsidRDefault="009F650A" w:rsidP="009F650A">
            <w:pPr>
              <w:jc w:val="both"/>
              <w:rPr>
                <w:rFonts w:ascii="Times New Roman" w:hAnsi="Times New Roman" w:cs="Times New Roman"/>
              </w:rPr>
            </w:pPr>
          </w:p>
          <w:p w14:paraId="1165B40E" w14:textId="1428190A" w:rsidR="009F650A" w:rsidRPr="009F650A" w:rsidRDefault="009F650A" w:rsidP="009F650A">
            <w:pPr>
              <w:jc w:val="both"/>
              <w:rPr>
                <w:rFonts w:ascii="Times New Roman" w:hAnsi="Times New Roman" w:cs="Times New Roman"/>
              </w:rPr>
            </w:pPr>
            <w:r w:rsidRPr="009F650A">
              <w:rPr>
                <w:rFonts w:ascii="Times New Roman" w:hAnsi="Times New Roman" w:cs="Times New Roman"/>
              </w:rPr>
              <w:t xml:space="preserve">Návrh nemá být opatřením směřujícím k reformě či modernizaci důchodového systému </w:t>
            </w:r>
            <w:r w:rsidR="00327BEE">
              <w:rPr>
                <w:rFonts w:ascii="Times New Roman" w:hAnsi="Times New Roman" w:cs="Times New Roman"/>
              </w:rPr>
              <w:t xml:space="preserve">a </w:t>
            </w:r>
            <w:r w:rsidRPr="009F650A">
              <w:rPr>
                <w:rFonts w:ascii="Times New Roman" w:hAnsi="Times New Roman" w:cs="Times New Roman"/>
              </w:rPr>
              <w:t xml:space="preserve">ani to z jeho odůvodnění nijak nevyplývá. </w:t>
            </w:r>
          </w:p>
          <w:p w14:paraId="0043714A" w14:textId="77777777" w:rsidR="009F650A" w:rsidRDefault="009F650A" w:rsidP="009F650A">
            <w:pPr>
              <w:jc w:val="both"/>
              <w:rPr>
                <w:rFonts w:ascii="Times New Roman" w:hAnsi="Times New Roman" w:cs="Times New Roman"/>
              </w:rPr>
            </w:pPr>
          </w:p>
          <w:p w14:paraId="4B4F1CBF" w14:textId="77777777" w:rsidR="009F650A" w:rsidRDefault="009F650A" w:rsidP="009F650A">
            <w:pPr>
              <w:jc w:val="both"/>
              <w:rPr>
                <w:rFonts w:ascii="Times New Roman" w:hAnsi="Times New Roman" w:cs="Times New Roman"/>
              </w:rPr>
            </w:pPr>
          </w:p>
          <w:p w14:paraId="0FAB9F50" w14:textId="77777777" w:rsidR="009F650A" w:rsidRDefault="009F650A" w:rsidP="009F650A">
            <w:pPr>
              <w:jc w:val="both"/>
              <w:rPr>
                <w:rFonts w:ascii="Times New Roman" w:hAnsi="Times New Roman" w:cs="Times New Roman"/>
              </w:rPr>
            </w:pPr>
          </w:p>
          <w:p w14:paraId="407345C5" w14:textId="77777777" w:rsidR="009F650A" w:rsidRDefault="009F650A" w:rsidP="009F650A">
            <w:pPr>
              <w:jc w:val="both"/>
              <w:rPr>
                <w:rFonts w:ascii="Times New Roman" w:hAnsi="Times New Roman" w:cs="Times New Roman"/>
              </w:rPr>
            </w:pPr>
          </w:p>
          <w:p w14:paraId="73CACEEA" w14:textId="77777777" w:rsidR="009F650A" w:rsidRDefault="009F650A" w:rsidP="009F650A">
            <w:pPr>
              <w:jc w:val="both"/>
              <w:rPr>
                <w:rFonts w:ascii="Times New Roman" w:hAnsi="Times New Roman" w:cs="Times New Roman"/>
              </w:rPr>
            </w:pPr>
          </w:p>
          <w:p w14:paraId="73CD5B16" w14:textId="77777777" w:rsidR="009F650A" w:rsidRDefault="009F650A" w:rsidP="009F650A">
            <w:pPr>
              <w:jc w:val="both"/>
              <w:rPr>
                <w:rFonts w:ascii="Times New Roman" w:hAnsi="Times New Roman" w:cs="Times New Roman"/>
              </w:rPr>
            </w:pPr>
          </w:p>
          <w:p w14:paraId="05B934B0" w14:textId="4670E350" w:rsidR="009F650A" w:rsidRPr="009F650A" w:rsidRDefault="009F650A" w:rsidP="009F650A">
            <w:pPr>
              <w:jc w:val="both"/>
              <w:rPr>
                <w:rFonts w:ascii="Times New Roman" w:hAnsi="Times New Roman" w:cs="Times New Roman"/>
              </w:rPr>
            </w:pPr>
            <w:r w:rsidRPr="009F650A">
              <w:rPr>
                <w:rFonts w:ascii="Times New Roman" w:hAnsi="Times New Roman" w:cs="Times New Roman"/>
              </w:rPr>
              <w:t>Návrh nepomíjí potřebu provést mimořádnou valorizaci důchodů, pouze ji provádí rozpočtově odpovědným způsobem při současném zachování ochrany nejzranitelnějších skupin důchodců.</w:t>
            </w:r>
          </w:p>
          <w:p w14:paraId="002E83A4" w14:textId="77777777" w:rsidR="009F650A" w:rsidRDefault="009F650A" w:rsidP="009F650A">
            <w:pPr>
              <w:jc w:val="both"/>
              <w:rPr>
                <w:rFonts w:ascii="Times New Roman" w:hAnsi="Times New Roman" w:cs="Times New Roman"/>
              </w:rPr>
            </w:pPr>
          </w:p>
          <w:p w14:paraId="35FE2C2D" w14:textId="77777777" w:rsidR="009F650A" w:rsidRDefault="009F650A" w:rsidP="009F650A">
            <w:pPr>
              <w:jc w:val="both"/>
              <w:rPr>
                <w:rFonts w:ascii="Times New Roman" w:hAnsi="Times New Roman" w:cs="Times New Roman"/>
              </w:rPr>
            </w:pPr>
          </w:p>
          <w:p w14:paraId="3997461C" w14:textId="77777777" w:rsidR="009F650A" w:rsidRDefault="009F650A" w:rsidP="009F650A">
            <w:pPr>
              <w:jc w:val="both"/>
              <w:rPr>
                <w:rFonts w:ascii="Times New Roman" w:hAnsi="Times New Roman" w:cs="Times New Roman"/>
              </w:rPr>
            </w:pPr>
          </w:p>
          <w:p w14:paraId="53BDCA3B" w14:textId="77777777" w:rsidR="009F650A" w:rsidRDefault="009F650A" w:rsidP="009F650A">
            <w:pPr>
              <w:jc w:val="both"/>
              <w:rPr>
                <w:rFonts w:ascii="Times New Roman" w:hAnsi="Times New Roman" w:cs="Times New Roman"/>
              </w:rPr>
            </w:pPr>
          </w:p>
          <w:p w14:paraId="42860683" w14:textId="77777777" w:rsidR="009F650A" w:rsidRDefault="009F650A" w:rsidP="009F650A">
            <w:pPr>
              <w:jc w:val="both"/>
              <w:rPr>
                <w:rFonts w:ascii="Times New Roman" w:hAnsi="Times New Roman" w:cs="Times New Roman"/>
              </w:rPr>
            </w:pPr>
          </w:p>
          <w:p w14:paraId="6CB59695" w14:textId="77777777" w:rsidR="009F650A" w:rsidRDefault="009F650A" w:rsidP="009F650A">
            <w:pPr>
              <w:jc w:val="both"/>
              <w:rPr>
                <w:rFonts w:ascii="Times New Roman" w:hAnsi="Times New Roman" w:cs="Times New Roman"/>
              </w:rPr>
            </w:pPr>
          </w:p>
          <w:p w14:paraId="08DD6275" w14:textId="77777777" w:rsidR="009F650A" w:rsidRDefault="009F650A" w:rsidP="009F650A">
            <w:pPr>
              <w:jc w:val="both"/>
              <w:rPr>
                <w:rFonts w:ascii="Times New Roman" w:hAnsi="Times New Roman" w:cs="Times New Roman"/>
              </w:rPr>
            </w:pPr>
          </w:p>
          <w:p w14:paraId="790759BD" w14:textId="77777777" w:rsidR="009F650A" w:rsidRDefault="009F650A" w:rsidP="009F650A">
            <w:pPr>
              <w:jc w:val="both"/>
              <w:rPr>
                <w:rFonts w:ascii="Times New Roman" w:hAnsi="Times New Roman" w:cs="Times New Roman"/>
              </w:rPr>
            </w:pPr>
          </w:p>
          <w:p w14:paraId="2D26EEDF" w14:textId="0DCEBA34" w:rsidR="009F650A" w:rsidRPr="009F650A" w:rsidRDefault="009F650A" w:rsidP="009F650A">
            <w:pPr>
              <w:jc w:val="both"/>
              <w:rPr>
                <w:rFonts w:ascii="Times New Roman" w:hAnsi="Times New Roman" w:cs="Times New Roman"/>
              </w:rPr>
            </w:pPr>
            <w:r w:rsidRPr="009F650A">
              <w:rPr>
                <w:rFonts w:ascii="Times New Roman" w:hAnsi="Times New Roman" w:cs="Times New Roman"/>
              </w:rPr>
              <w:lastRenderedPageBreak/>
              <w:t xml:space="preserve">Pokud jde o ústavnost, předkladatel vychází z názoru, že </w:t>
            </w:r>
            <w:r w:rsidRPr="009F650A">
              <w:rPr>
                <w:rFonts w:ascii="Times New Roman" w:hAnsi="Times New Roman" w:cs="Times New Roman"/>
                <w:bCs/>
                <w:szCs w:val="24"/>
              </w:rPr>
              <w:t>navržená úprava nepředstavuje nepřiměřený zásah do práv dotčených osob, neboť do doby vydání nařízení vlády o zvýšení důchodů nelze hovořit o silném legitimním očekávání a do dne nabytí je</w:t>
            </w:r>
            <w:r w:rsidR="009274FF">
              <w:rPr>
                <w:rFonts w:ascii="Times New Roman" w:hAnsi="Times New Roman" w:cs="Times New Roman"/>
                <w:bCs/>
                <w:szCs w:val="24"/>
              </w:rPr>
              <w:t>ho</w:t>
            </w:r>
            <w:r w:rsidRPr="009F650A">
              <w:rPr>
                <w:rFonts w:ascii="Times New Roman" w:hAnsi="Times New Roman" w:cs="Times New Roman"/>
                <w:bCs/>
                <w:szCs w:val="24"/>
              </w:rPr>
              <w:t xml:space="preserve"> účinnosti nelze hovořit ani o nabytých právech. </w:t>
            </w:r>
          </w:p>
          <w:p w14:paraId="1F8E4A11" w14:textId="77777777" w:rsidR="009F650A" w:rsidRDefault="009F650A" w:rsidP="009F650A">
            <w:pPr>
              <w:jc w:val="both"/>
              <w:rPr>
                <w:rFonts w:ascii="Times New Roman" w:hAnsi="Times New Roman" w:cs="Times New Roman"/>
              </w:rPr>
            </w:pPr>
          </w:p>
          <w:p w14:paraId="4120DEC4" w14:textId="77777777" w:rsidR="009F650A" w:rsidRDefault="009F650A" w:rsidP="009F650A">
            <w:pPr>
              <w:jc w:val="both"/>
              <w:rPr>
                <w:rFonts w:ascii="Times New Roman" w:hAnsi="Times New Roman" w:cs="Times New Roman"/>
              </w:rPr>
            </w:pPr>
          </w:p>
          <w:p w14:paraId="4495916E" w14:textId="77777777" w:rsidR="009F650A" w:rsidRDefault="009F650A" w:rsidP="009F650A">
            <w:pPr>
              <w:jc w:val="both"/>
              <w:rPr>
                <w:rFonts w:ascii="Times New Roman" w:hAnsi="Times New Roman" w:cs="Times New Roman"/>
              </w:rPr>
            </w:pPr>
          </w:p>
          <w:p w14:paraId="43520B21" w14:textId="77777777" w:rsidR="009F650A" w:rsidRDefault="009F650A" w:rsidP="009F650A">
            <w:pPr>
              <w:jc w:val="both"/>
              <w:rPr>
                <w:rFonts w:ascii="Times New Roman" w:hAnsi="Times New Roman" w:cs="Times New Roman"/>
              </w:rPr>
            </w:pPr>
          </w:p>
          <w:p w14:paraId="361886A8" w14:textId="77777777" w:rsidR="009F650A" w:rsidRDefault="009F650A" w:rsidP="009F650A">
            <w:pPr>
              <w:jc w:val="both"/>
              <w:rPr>
                <w:rFonts w:ascii="Times New Roman" w:hAnsi="Times New Roman" w:cs="Times New Roman"/>
              </w:rPr>
            </w:pPr>
          </w:p>
          <w:p w14:paraId="28B5FBD8" w14:textId="77777777" w:rsidR="009F650A" w:rsidRDefault="009F650A" w:rsidP="009F650A">
            <w:pPr>
              <w:jc w:val="both"/>
              <w:rPr>
                <w:rFonts w:ascii="Times New Roman" w:hAnsi="Times New Roman" w:cs="Times New Roman"/>
              </w:rPr>
            </w:pPr>
          </w:p>
          <w:p w14:paraId="446C3160" w14:textId="77777777" w:rsidR="009F650A" w:rsidRDefault="009F650A" w:rsidP="009F650A">
            <w:pPr>
              <w:jc w:val="both"/>
              <w:rPr>
                <w:rFonts w:ascii="Times New Roman" w:hAnsi="Times New Roman" w:cs="Times New Roman"/>
              </w:rPr>
            </w:pPr>
          </w:p>
          <w:p w14:paraId="2690491A" w14:textId="77777777" w:rsidR="009F650A" w:rsidRDefault="009F650A" w:rsidP="009F650A">
            <w:pPr>
              <w:jc w:val="both"/>
              <w:rPr>
                <w:rFonts w:ascii="Times New Roman" w:hAnsi="Times New Roman" w:cs="Times New Roman"/>
              </w:rPr>
            </w:pPr>
          </w:p>
          <w:p w14:paraId="304DFAD9" w14:textId="77777777" w:rsidR="009F650A" w:rsidRDefault="009F650A" w:rsidP="009F650A">
            <w:pPr>
              <w:jc w:val="both"/>
              <w:rPr>
                <w:rFonts w:ascii="Times New Roman" w:hAnsi="Times New Roman" w:cs="Times New Roman"/>
              </w:rPr>
            </w:pPr>
          </w:p>
          <w:p w14:paraId="3A8C51BA" w14:textId="77777777" w:rsidR="009F650A" w:rsidRDefault="009F650A" w:rsidP="009F650A">
            <w:pPr>
              <w:jc w:val="both"/>
              <w:rPr>
                <w:rFonts w:ascii="Times New Roman" w:hAnsi="Times New Roman" w:cs="Times New Roman"/>
              </w:rPr>
            </w:pPr>
          </w:p>
          <w:p w14:paraId="02FA5FF5" w14:textId="77777777" w:rsidR="009F650A" w:rsidRDefault="009F650A" w:rsidP="009F650A">
            <w:pPr>
              <w:jc w:val="both"/>
              <w:rPr>
                <w:rFonts w:ascii="Times New Roman" w:hAnsi="Times New Roman" w:cs="Times New Roman"/>
              </w:rPr>
            </w:pPr>
          </w:p>
          <w:p w14:paraId="63F8FD2A" w14:textId="77777777" w:rsidR="009F650A" w:rsidRDefault="009F650A" w:rsidP="009F650A">
            <w:pPr>
              <w:jc w:val="both"/>
              <w:rPr>
                <w:rFonts w:ascii="Times New Roman" w:hAnsi="Times New Roman" w:cs="Times New Roman"/>
              </w:rPr>
            </w:pPr>
          </w:p>
          <w:p w14:paraId="5DC4BB80" w14:textId="77777777" w:rsidR="009F650A" w:rsidRDefault="009F650A" w:rsidP="009F650A">
            <w:pPr>
              <w:jc w:val="both"/>
              <w:rPr>
                <w:rFonts w:ascii="Times New Roman" w:hAnsi="Times New Roman" w:cs="Times New Roman"/>
              </w:rPr>
            </w:pPr>
          </w:p>
          <w:p w14:paraId="1D244BBB" w14:textId="77777777" w:rsidR="009F650A" w:rsidRDefault="009F650A" w:rsidP="009F650A">
            <w:pPr>
              <w:jc w:val="both"/>
              <w:rPr>
                <w:rFonts w:ascii="Times New Roman" w:hAnsi="Times New Roman" w:cs="Times New Roman"/>
              </w:rPr>
            </w:pPr>
          </w:p>
          <w:p w14:paraId="29F31B03" w14:textId="77777777" w:rsidR="009F650A" w:rsidRDefault="009F650A" w:rsidP="009F650A">
            <w:pPr>
              <w:jc w:val="both"/>
              <w:rPr>
                <w:rFonts w:ascii="Times New Roman" w:hAnsi="Times New Roman" w:cs="Times New Roman"/>
              </w:rPr>
            </w:pPr>
          </w:p>
          <w:p w14:paraId="74D7D0C4" w14:textId="77777777" w:rsidR="009F650A" w:rsidRDefault="009F650A" w:rsidP="009F650A">
            <w:pPr>
              <w:jc w:val="both"/>
              <w:rPr>
                <w:rFonts w:ascii="Times New Roman" w:hAnsi="Times New Roman" w:cs="Times New Roman"/>
              </w:rPr>
            </w:pPr>
          </w:p>
          <w:p w14:paraId="49A6BDEC" w14:textId="6E60061F" w:rsidR="009F650A" w:rsidRPr="009F650A" w:rsidRDefault="009F650A" w:rsidP="009F650A">
            <w:pPr>
              <w:jc w:val="both"/>
              <w:rPr>
                <w:rFonts w:ascii="Times New Roman" w:hAnsi="Times New Roman" w:cs="Times New Roman"/>
              </w:rPr>
            </w:pPr>
            <w:r w:rsidRPr="009F650A">
              <w:rPr>
                <w:rFonts w:ascii="Times New Roman" w:hAnsi="Times New Roman" w:cs="Times New Roman"/>
              </w:rPr>
              <w:t>Při srovnání efektu zvýšení podle současných pravidel a návrhu nelze porovnávat 11,5 % a 2,3 %, neboť v návrhu je i pevná částka 400 Kč, která u průměrného starobního důchodu představuje zvýšení procentní výměry o dalších 2,6 %, tj. v úhrnu jde u tohoto důchodu o srovnání 11,5 % vs 4,9 %.</w:t>
            </w:r>
          </w:p>
          <w:p w14:paraId="014D6C31" w14:textId="77777777" w:rsidR="009F650A" w:rsidRDefault="009F650A" w:rsidP="009F650A">
            <w:pPr>
              <w:jc w:val="both"/>
              <w:rPr>
                <w:rFonts w:ascii="Times New Roman" w:hAnsi="Times New Roman" w:cs="Times New Roman"/>
                <w:bCs/>
                <w:szCs w:val="24"/>
              </w:rPr>
            </w:pPr>
          </w:p>
          <w:p w14:paraId="1CD0E991" w14:textId="1670D2A3" w:rsidR="009F650A" w:rsidRPr="009F650A" w:rsidRDefault="009F650A" w:rsidP="009F650A">
            <w:pPr>
              <w:jc w:val="both"/>
              <w:rPr>
                <w:rFonts w:ascii="Times New Roman" w:hAnsi="Times New Roman" w:cs="Times New Roman"/>
              </w:rPr>
            </w:pPr>
            <w:r w:rsidRPr="009F650A">
              <w:rPr>
                <w:rFonts w:ascii="Times New Roman" w:hAnsi="Times New Roman" w:cs="Times New Roman"/>
                <w:bCs/>
                <w:szCs w:val="24"/>
              </w:rPr>
              <w:t xml:space="preserve">Ohledně tvrzeného narušení zásluhovosti je třeba brát v úvahu, že </w:t>
            </w:r>
            <w:r w:rsidRPr="009F650A">
              <w:rPr>
                <w:rFonts w:ascii="Times New Roman" w:hAnsi="Times New Roman" w:cs="Times New Roman"/>
              </w:rPr>
              <w:t xml:space="preserve">u dvou mimořádných valorizací v loňském roce nebylo navyšování proporcionální, ale ve prospěch vyšších důchodů (u nichž procentní </w:t>
            </w:r>
            <w:r w:rsidRPr="009F650A">
              <w:rPr>
                <w:rFonts w:ascii="Times New Roman" w:hAnsi="Times New Roman" w:cs="Times New Roman"/>
              </w:rPr>
              <w:lastRenderedPageBreak/>
              <w:t>výměra představuje větší část z celkové výše důchodu).</w:t>
            </w:r>
          </w:p>
          <w:p w14:paraId="73A6142C" w14:textId="77777777" w:rsidR="009F650A" w:rsidRDefault="009F650A" w:rsidP="009F650A">
            <w:pPr>
              <w:jc w:val="both"/>
              <w:rPr>
                <w:rFonts w:ascii="Times New Roman" w:hAnsi="Times New Roman" w:cs="Times New Roman"/>
              </w:rPr>
            </w:pPr>
          </w:p>
          <w:p w14:paraId="2F8D1387" w14:textId="77777777" w:rsidR="009F650A" w:rsidRDefault="009F650A" w:rsidP="009F650A">
            <w:pPr>
              <w:jc w:val="both"/>
              <w:rPr>
                <w:rFonts w:ascii="Times New Roman" w:hAnsi="Times New Roman" w:cs="Times New Roman"/>
              </w:rPr>
            </w:pPr>
          </w:p>
          <w:p w14:paraId="085D85A2" w14:textId="77777777" w:rsidR="009F650A" w:rsidRDefault="009F650A" w:rsidP="009F650A">
            <w:pPr>
              <w:jc w:val="both"/>
              <w:rPr>
                <w:rFonts w:ascii="Times New Roman" w:hAnsi="Times New Roman" w:cs="Times New Roman"/>
              </w:rPr>
            </w:pPr>
          </w:p>
          <w:p w14:paraId="159D298F" w14:textId="123C5764" w:rsidR="009F650A" w:rsidRPr="009F650A" w:rsidRDefault="009F650A" w:rsidP="009F650A">
            <w:pPr>
              <w:jc w:val="both"/>
              <w:rPr>
                <w:rFonts w:ascii="Times New Roman" w:hAnsi="Times New Roman" w:cs="Times New Roman"/>
              </w:rPr>
            </w:pPr>
            <w:r w:rsidRPr="009F650A">
              <w:rPr>
                <w:rFonts w:ascii="Times New Roman" w:hAnsi="Times New Roman" w:cs="Times New Roman"/>
              </w:rPr>
              <w:t>K dalším důvodům pro odmítnutí návrhu zákona uvádíme</w:t>
            </w:r>
            <w:r>
              <w:rPr>
                <w:rFonts w:ascii="Times New Roman" w:hAnsi="Times New Roman" w:cs="Times New Roman"/>
              </w:rPr>
              <w:t>:</w:t>
            </w:r>
          </w:p>
          <w:p w14:paraId="49500A2C" w14:textId="4545366C" w:rsidR="009F650A" w:rsidRDefault="009F650A" w:rsidP="009F650A">
            <w:pPr>
              <w:pStyle w:val="Odstavecseseznamem"/>
              <w:numPr>
                <w:ilvl w:val="0"/>
                <w:numId w:val="37"/>
              </w:numPr>
              <w:contextualSpacing w:val="0"/>
              <w:jc w:val="both"/>
              <w:rPr>
                <w:rFonts w:ascii="Times New Roman" w:hAnsi="Times New Roman" w:cs="Times New Roman"/>
              </w:rPr>
            </w:pPr>
            <w:r w:rsidRPr="009F650A">
              <w:rPr>
                <w:rFonts w:ascii="Times New Roman" w:hAnsi="Times New Roman" w:cs="Times New Roman"/>
              </w:rPr>
              <w:t>nelze souhlasit s názorem, že návrh zavádí „změnu výpočtu důchodu“ tím, že část valorizace procentní výměry proběhne přičtením pevné částky – obdobný postup byl již v minulosti aplikován (</w:t>
            </w:r>
            <w:r w:rsidR="00327BEE">
              <w:rPr>
                <w:rFonts w:ascii="Times New Roman" w:hAnsi="Times New Roman" w:cs="Times New Roman"/>
              </w:rPr>
              <w:t xml:space="preserve">např. </w:t>
            </w:r>
            <w:r w:rsidRPr="009F650A">
              <w:rPr>
                <w:rFonts w:ascii="Times New Roman" w:hAnsi="Times New Roman" w:cs="Times New Roman"/>
              </w:rPr>
              <w:t>zákon č. 244/2019 Sb., zákon č. 323/2021 Sb.)</w:t>
            </w:r>
            <w:r>
              <w:rPr>
                <w:rFonts w:ascii="Times New Roman" w:hAnsi="Times New Roman" w:cs="Times New Roman"/>
              </w:rPr>
              <w:t>,</w:t>
            </w:r>
          </w:p>
          <w:p w14:paraId="1EA30ECE" w14:textId="02E77217" w:rsidR="009F650A" w:rsidRPr="009F650A" w:rsidRDefault="009F650A" w:rsidP="009F650A">
            <w:pPr>
              <w:pStyle w:val="Odstavecseseznamem"/>
              <w:numPr>
                <w:ilvl w:val="0"/>
                <w:numId w:val="37"/>
              </w:numPr>
              <w:contextualSpacing w:val="0"/>
              <w:jc w:val="both"/>
              <w:rPr>
                <w:rFonts w:ascii="Times New Roman" w:hAnsi="Times New Roman" w:cs="Times New Roman"/>
              </w:rPr>
            </w:pPr>
            <w:r w:rsidRPr="009F650A">
              <w:rPr>
                <w:rFonts w:ascii="Times New Roman" w:hAnsi="Times New Roman" w:cs="Times New Roman"/>
              </w:rPr>
              <w:t>skutečnost, že zaměstnancům nebyl růst cen plně kompenzován, zatímco důchodcům ano, považuje předkladatel za relevantní z hlediska legitimity návrhu</w:t>
            </w:r>
            <w:r w:rsidR="00EF17B9">
              <w:rPr>
                <w:rFonts w:ascii="Times New Roman" w:hAnsi="Times New Roman" w:cs="Times New Roman"/>
              </w:rPr>
              <w:t>;</w:t>
            </w:r>
            <w:r w:rsidR="00CB6E1F">
              <w:rPr>
                <w:rFonts w:ascii="Times New Roman" w:hAnsi="Times New Roman" w:cs="Times New Roman"/>
              </w:rPr>
              <w:t xml:space="preserve"> sociální postavení různých skupin obyvatel </w:t>
            </w:r>
            <w:r w:rsidR="00002073">
              <w:rPr>
                <w:rFonts w:ascii="Times New Roman" w:hAnsi="Times New Roman" w:cs="Times New Roman"/>
              </w:rPr>
              <w:t>má vláda za povinn</w:t>
            </w:r>
            <w:r w:rsidR="00B72768">
              <w:rPr>
                <w:rFonts w:ascii="Times New Roman" w:hAnsi="Times New Roman" w:cs="Times New Roman"/>
              </w:rPr>
              <w:t>o</w:t>
            </w:r>
            <w:r w:rsidR="00002073">
              <w:rPr>
                <w:rFonts w:ascii="Times New Roman" w:hAnsi="Times New Roman" w:cs="Times New Roman"/>
              </w:rPr>
              <w:t>st</w:t>
            </w:r>
            <w:r w:rsidR="00CB6E1F">
              <w:rPr>
                <w:rFonts w:ascii="Times New Roman" w:hAnsi="Times New Roman" w:cs="Times New Roman"/>
              </w:rPr>
              <w:t xml:space="preserve"> přiměřeně vyvažovat a není vhodné, aby zaostávání reálných příjmů zaměstnanců bylo výrazně vyšší i vzhledem k tomu, že zaměstnanci jsou skupinou, která generuje rozhodující část zdrojů pro krytí všech veřejných výdajů</w:t>
            </w:r>
            <w:r w:rsidR="00EF17B9">
              <w:rPr>
                <w:rFonts w:ascii="Times New Roman" w:hAnsi="Times New Roman" w:cs="Times New Roman"/>
              </w:rPr>
              <w:t>,</w:t>
            </w:r>
          </w:p>
          <w:p w14:paraId="2E6DDE8A" w14:textId="4D8CDC48" w:rsidR="00164BE1" w:rsidRPr="009F650A" w:rsidRDefault="009F650A" w:rsidP="009F650A">
            <w:pPr>
              <w:pStyle w:val="Odstavecseseznamem"/>
              <w:numPr>
                <w:ilvl w:val="0"/>
                <w:numId w:val="37"/>
              </w:numPr>
              <w:contextualSpacing w:val="0"/>
              <w:jc w:val="both"/>
              <w:rPr>
                <w:rFonts w:ascii="Times New Roman" w:hAnsi="Times New Roman" w:cs="Times New Roman"/>
              </w:rPr>
            </w:pPr>
            <w:r w:rsidRPr="009F650A">
              <w:rPr>
                <w:rFonts w:ascii="Times New Roman" w:hAnsi="Times New Roman" w:cs="Times New Roman"/>
              </w:rPr>
              <w:t xml:space="preserve">v posledních 14 měsících došlo k výraznému nárůstu všech důchodů a náhradový poměr k průměrné mzdě vzrostl ze zhruba 40 % na více jak 47 %. Vlivem minulých zvýšení důchodů jsou důchodci, jako celková socioekonomická skupina, nejlépe příjmově chráněnou skupinou obyvatel. Zatímco reálná hodnota, tj. kupní síla, průměrné mzdy podle očekávání klesne mezi lety 2021 a </w:t>
            </w:r>
            <w:r w:rsidRPr="009F650A">
              <w:rPr>
                <w:rFonts w:ascii="Times New Roman" w:hAnsi="Times New Roman" w:cs="Times New Roman"/>
              </w:rPr>
              <w:lastRenderedPageBreak/>
              <w:t xml:space="preserve">2023 o 11,4 %, reálná hodnota průměrného samostatně vypláceného starobního důchodu při provedení mimořádného zvýšení důchodů podle </w:t>
            </w:r>
            <w:r w:rsidRPr="009F650A">
              <w:rPr>
                <w:rFonts w:ascii="Times New Roman" w:hAnsi="Times New Roman" w:cs="Times New Roman"/>
                <w:color w:val="000000"/>
              </w:rPr>
              <w:t xml:space="preserve">navrhované úpravy sice </w:t>
            </w:r>
            <w:r w:rsidRPr="009F650A">
              <w:rPr>
                <w:rFonts w:ascii="Times New Roman" w:hAnsi="Times New Roman" w:cs="Times New Roman"/>
              </w:rPr>
              <w:t xml:space="preserve">ve stejném období </w:t>
            </w:r>
            <w:r w:rsidRPr="009F650A">
              <w:rPr>
                <w:rFonts w:ascii="Times New Roman" w:hAnsi="Times New Roman" w:cs="Times New Roman"/>
                <w:color w:val="000000"/>
              </w:rPr>
              <w:t>také poklesne, ale jen o 2,6</w:t>
            </w:r>
            <w:r w:rsidRPr="009F650A">
              <w:rPr>
                <w:rFonts w:ascii="Times New Roman" w:hAnsi="Times New Roman" w:cs="Times New Roman"/>
              </w:rPr>
              <w:t xml:space="preserve"> %.</w:t>
            </w:r>
          </w:p>
        </w:tc>
      </w:tr>
      <w:tr w:rsidR="00164BE1" w:rsidRPr="00193384" w14:paraId="7FB2C090"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77B9B5A" w14:textId="65A4E504" w:rsidR="00164BE1" w:rsidRDefault="001F04E9" w:rsidP="00081217">
            <w:pPr>
              <w:pStyle w:val="Bezmezer"/>
              <w:rPr>
                <w:rFonts w:ascii="Times New Roman" w:hAnsi="Times New Roman" w:cs="Times New Roman"/>
                <w:b/>
                <w:bCs/>
              </w:rPr>
            </w:pPr>
            <w:r>
              <w:rPr>
                <w:rFonts w:ascii="Times New Roman" w:hAnsi="Times New Roman" w:cs="Times New Roman"/>
                <w:b/>
                <w:bCs/>
              </w:rPr>
              <w:lastRenderedPageBreak/>
              <w:t>Svaz průmyslu a dopravy ČR</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7C038E74" w14:textId="237039D6" w:rsidR="00164BE1" w:rsidRDefault="001F04E9" w:rsidP="00081217">
            <w:pPr>
              <w:pStyle w:val="Bezmezer"/>
              <w:rPr>
                <w:rFonts w:ascii="Times New Roman" w:hAnsi="Times New Roman" w:cs="Times New Roman"/>
              </w:rPr>
            </w:pPr>
            <w:r>
              <w:rPr>
                <w:rFonts w:ascii="Times New Roman" w:hAnsi="Times New Roman" w:cs="Times New Roman"/>
              </w:rPr>
              <w:t>K návrhu zákona</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5EC74F09" w14:textId="77777777" w:rsidR="001F04E9" w:rsidRPr="001F04E9" w:rsidRDefault="001F04E9" w:rsidP="001F04E9">
            <w:pPr>
              <w:pStyle w:val="Bezmezer"/>
              <w:jc w:val="both"/>
              <w:rPr>
                <w:rFonts w:ascii="Times New Roman" w:hAnsi="Times New Roman" w:cs="Times New Roman"/>
              </w:rPr>
            </w:pPr>
            <w:r w:rsidRPr="001F04E9">
              <w:rPr>
                <w:rFonts w:ascii="Times New Roman" w:hAnsi="Times New Roman" w:cs="Times New Roman"/>
                <w:b/>
              </w:rPr>
              <w:t>K předloženému návrhu zákona zasílá SP ČR následující konkrétní připomínky</w:t>
            </w:r>
            <w:r w:rsidRPr="001F04E9">
              <w:rPr>
                <w:rFonts w:ascii="Times New Roman" w:hAnsi="Times New Roman" w:cs="Times New Roman"/>
              </w:rPr>
              <w:t xml:space="preserve">: </w:t>
            </w:r>
          </w:p>
          <w:p w14:paraId="1F2FEAFB" w14:textId="40077811" w:rsidR="001F04E9" w:rsidRPr="001F04E9" w:rsidRDefault="001F04E9" w:rsidP="001F04E9">
            <w:pPr>
              <w:pStyle w:val="Bezmezer"/>
              <w:numPr>
                <w:ilvl w:val="0"/>
                <w:numId w:val="36"/>
              </w:numPr>
              <w:ind w:left="268" w:hanging="268"/>
              <w:jc w:val="both"/>
              <w:rPr>
                <w:rFonts w:ascii="Times New Roman" w:hAnsi="Times New Roman" w:cs="Times New Roman"/>
                <w:lang w:val="de-DE"/>
              </w:rPr>
            </w:pPr>
            <w:proofErr w:type="spellStart"/>
            <w:r w:rsidRPr="001F04E9">
              <w:rPr>
                <w:rFonts w:ascii="Times New Roman" w:hAnsi="Times New Roman" w:cs="Times New Roman"/>
                <w:lang w:val="de-DE"/>
              </w:rPr>
              <w:t>nesoulad</w:t>
            </w:r>
            <w:proofErr w:type="spellEnd"/>
            <w:r w:rsidR="001F1E81">
              <w:rPr>
                <w:rFonts w:ascii="Times New Roman" w:hAnsi="Times New Roman" w:cs="Times New Roman"/>
                <w:lang w:val="de-DE"/>
              </w:rPr>
              <w:t xml:space="preserve"> </w:t>
            </w:r>
            <w:r w:rsidRPr="001F04E9">
              <w:rPr>
                <w:rFonts w:ascii="Times New Roman" w:hAnsi="Times New Roman" w:cs="Times New Roman"/>
                <w:lang w:val="de-DE"/>
              </w:rPr>
              <w:t>s </w:t>
            </w:r>
            <w:proofErr w:type="spellStart"/>
            <w:r w:rsidRPr="001F04E9">
              <w:rPr>
                <w:rFonts w:ascii="Times New Roman" w:hAnsi="Times New Roman" w:cs="Times New Roman"/>
                <w:lang w:val="de-DE"/>
              </w:rPr>
              <w:t>Ústavním</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pořádkem</w:t>
            </w:r>
            <w:proofErr w:type="spellEnd"/>
            <w:r w:rsidRPr="001F04E9">
              <w:rPr>
                <w:rFonts w:ascii="Times New Roman" w:hAnsi="Times New Roman" w:cs="Times New Roman"/>
                <w:lang w:val="de-DE"/>
              </w:rPr>
              <w:t xml:space="preserve"> a s </w:t>
            </w:r>
            <w:proofErr w:type="spellStart"/>
            <w:r w:rsidRPr="001F04E9">
              <w:rPr>
                <w:rFonts w:ascii="Times New Roman" w:hAnsi="Times New Roman" w:cs="Times New Roman"/>
                <w:lang w:val="de-DE"/>
              </w:rPr>
              <w:t>principy</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důchodového</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pojištění</w:t>
            </w:r>
            <w:proofErr w:type="spellEnd"/>
            <w:r w:rsidRPr="001F04E9">
              <w:rPr>
                <w:rFonts w:ascii="Times New Roman" w:hAnsi="Times New Roman" w:cs="Times New Roman"/>
                <w:lang w:val="de-DE"/>
              </w:rPr>
              <w:t xml:space="preserve"> ČR</w:t>
            </w:r>
            <w:r w:rsidR="00327BEE">
              <w:rPr>
                <w:rFonts w:ascii="Times New Roman" w:hAnsi="Times New Roman" w:cs="Times New Roman"/>
                <w:lang w:val="de-DE"/>
              </w:rPr>
              <w:t>,</w:t>
            </w:r>
          </w:p>
          <w:p w14:paraId="0C566971" w14:textId="77777777" w:rsidR="001F04E9" w:rsidRPr="001F04E9" w:rsidRDefault="001F04E9" w:rsidP="001F04E9">
            <w:pPr>
              <w:pStyle w:val="Bezmezer"/>
              <w:numPr>
                <w:ilvl w:val="0"/>
                <w:numId w:val="36"/>
              </w:numPr>
              <w:ind w:left="268" w:hanging="268"/>
              <w:jc w:val="both"/>
              <w:rPr>
                <w:rFonts w:ascii="Times New Roman" w:hAnsi="Times New Roman" w:cs="Times New Roman"/>
                <w:lang w:val="de-DE"/>
              </w:rPr>
            </w:pPr>
            <w:r w:rsidRPr="001F04E9">
              <w:rPr>
                <w:rFonts w:ascii="Times New Roman" w:hAnsi="Times New Roman" w:cs="Times New Roman"/>
                <w:lang w:val="de-DE"/>
              </w:rPr>
              <w:t>k </w:t>
            </w:r>
            <w:proofErr w:type="spellStart"/>
            <w:r w:rsidRPr="001F04E9">
              <w:rPr>
                <w:rFonts w:ascii="Times New Roman" w:hAnsi="Times New Roman" w:cs="Times New Roman"/>
                <w:lang w:val="de-DE"/>
              </w:rPr>
              <w:t>dnešnímu</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dni</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již</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nastaly</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všechny</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rozhodné</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skutečnosti</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které</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zakládají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povinnost</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vlády</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provést</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nařízením</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valorizaci</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dokonce</w:t>
            </w:r>
            <w:proofErr w:type="spellEnd"/>
            <w:r w:rsidRPr="001F04E9">
              <w:rPr>
                <w:rFonts w:ascii="Times New Roman" w:hAnsi="Times New Roman" w:cs="Times New Roman"/>
                <w:lang w:val="de-DE"/>
              </w:rPr>
              <w:t xml:space="preserve"> je </w:t>
            </w:r>
            <w:proofErr w:type="spellStart"/>
            <w:r w:rsidRPr="001F04E9">
              <w:rPr>
                <w:rFonts w:ascii="Times New Roman" w:hAnsi="Times New Roman" w:cs="Times New Roman"/>
                <w:lang w:val="de-DE"/>
              </w:rPr>
              <w:t>známa</w:t>
            </w:r>
            <w:proofErr w:type="spellEnd"/>
            <w:r w:rsidRPr="001F04E9">
              <w:rPr>
                <w:rFonts w:ascii="Times New Roman" w:hAnsi="Times New Roman" w:cs="Times New Roman"/>
                <w:lang w:val="de-DE"/>
              </w:rPr>
              <w:t xml:space="preserve"> i </w:t>
            </w:r>
            <w:proofErr w:type="spellStart"/>
            <w:r w:rsidRPr="001F04E9">
              <w:rPr>
                <w:rFonts w:ascii="Times New Roman" w:hAnsi="Times New Roman" w:cs="Times New Roman"/>
                <w:lang w:val="de-DE"/>
              </w:rPr>
              <w:t>výše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procentní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výměry</w:t>
            </w:r>
            <w:proofErr w:type="spellEnd"/>
            <w:r w:rsidRPr="001F04E9">
              <w:rPr>
                <w:rFonts w:ascii="Times New Roman" w:hAnsi="Times New Roman" w:cs="Times New Roman"/>
                <w:lang w:val="de-DE"/>
              </w:rPr>
              <w:t xml:space="preserve"> (11,5%), </w:t>
            </w:r>
            <w:proofErr w:type="spellStart"/>
            <w:r w:rsidRPr="001F04E9">
              <w:rPr>
                <w:rFonts w:ascii="Times New Roman" w:hAnsi="Times New Roman" w:cs="Times New Roman"/>
                <w:lang w:val="de-DE"/>
              </w:rPr>
              <w:t>přesto</w:t>
            </w:r>
            <w:proofErr w:type="spellEnd"/>
            <w:r w:rsidRPr="001F04E9">
              <w:rPr>
                <w:rFonts w:ascii="Times New Roman" w:hAnsi="Times New Roman" w:cs="Times New Roman"/>
                <w:lang w:val="de-DE"/>
              </w:rPr>
              <w:t xml:space="preserve"> se </w:t>
            </w:r>
            <w:proofErr w:type="spellStart"/>
            <w:r w:rsidRPr="001F04E9">
              <w:rPr>
                <w:rFonts w:ascii="Times New Roman" w:hAnsi="Times New Roman" w:cs="Times New Roman"/>
                <w:lang w:val="de-DE"/>
              </w:rPr>
              <w:t>zpětně</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tato</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pravidla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mění</w:t>
            </w:r>
            <w:proofErr w:type="spellEnd"/>
            <w:r w:rsidRPr="001F04E9">
              <w:rPr>
                <w:rFonts w:ascii="Times New Roman" w:hAnsi="Times New Roman" w:cs="Times New Roman"/>
                <w:lang w:val="de-DE"/>
              </w:rPr>
              <w:t xml:space="preserve">, </w:t>
            </w:r>
          </w:p>
          <w:p w14:paraId="6A17C7C0" w14:textId="77777777" w:rsidR="001F04E9" w:rsidRPr="001F04E9" w:rsidRDefault="001F04E9" w:rsidP="001F04E9">
            <w:pPr>
              <w:pStyle w:val="Bezmezer"/>
              <w:numPr>
                <w:ilvl w:val="0"/>
                <w:numId w:val="36"/>
              </w:numPr>
              <w:ind w:left="268" w:hanging="268"/>
              <w:jc w:val="both"/>
              <w:rPr>
                <w:rFonts w:ascii="Times New Roman" w:hAnsi="Times New Roman" w:cs="Times New Roman"/>
                <w:lang w:val="de-DE"/>
              </w:rPr>
            </w:pPr>
            <w:proofErr w:type="spellStart"/>
            <w:r w:rsidRPr="001F04E9">
              <w:rPr>
                <w:rFonts w:ascii="Times New Roman" w:hAnsi="Times New Roman" w:cs="Times New Roman"/>
                <w:lang w:val="de-DE"/>
              </w:rPr>
              <w:t>ve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lhůtě</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určené</w:t>
            </w:r>
            <w:proofErr w:type="spellEnd"/>
            <w:r w:rsidRPr="001F04E9">
              <w:rPr>
                <w:rFonts w:ascii="Times New Roman" w:hAnsi="Times New Roman" w:cs="Times New Roman"/>
                <w:lang w:val="de-DE"/>
              </w:rPr>
              <w:t xml:space="preserve"> k </w:t>
            </w:r>
            <w:proofErr w:type="spellStart"/>
            <w:r w:rsidRPr="001F04E9">
              <w:rPr>
                <w:rFonts w:ascii="Times New Roman" w:hAnsi="Times New Roman" w:cs="Times New Roman"/>
                <w:lang w:val="de-DE"/>
              </w:rPr>
              <w:t>vydání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prováděcího</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nařízení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vlády</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kterým</w:t>
            </w:r>
            <w:proofErr w:type="spellEnd"/>
            <w:r w:rsidRPr="001F04E9">
              <w:rPr>
                <w:rFonts w:ascii="Times New Roman" w:hAnsi="Times New Roman" w:cs="Times New Roman"/>
                <w:lang w:val="de-DE"/>
              </w:rPr>
              <w:t xml:space="preserve"> je </w:t>
            </w:r>
            <w:proofErr w:type="spellStart"/>
            <w:r w:rsidRPr="001F04E9">
              <w:rPr>
                <w:rFonts w:ascii="Times New Roman" w:hAnsi="Times New Roman" w:cs="Times New Roman"/>
                <w:lang w:val="de-DE"/>
              </w:rPr>
              <w:t>vláda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povinna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zvýšit</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procentuální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výměru</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starobního</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důchodu</w:t>
            </w:r>
            <w:proofErr w:type="spellEnd"/>
            <w:r w:rsidRPr="001F04E9">
              <w:rPr>
                <w:rFonts w:ascii="Times New Roman" w:hAnsi="Times New Roman" w:cs="Times New Roman"/>
                <w:lang w:val="de-DE"/>
              </w:rPr>
              <w:t xml:space="preserve"> o </w:t>
            </w:r>
            <w:proofErr w:type="spellStart"/>
            <w:r w:rsidRPr="001F04E9">
              <w:rPr>
                <w:rFonts w:ascii="Times New Roman" w:hAnsi="Times New Roman" w:cs="Times New Roman"/>
                <w:lang w:val="de-DE"/>
              </w:rPr>
              <w:t>již</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zákonem</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danou</w:t>
            </w:r>
            <w:proofErr w:type="spellEnd"/>
            <w:r w:rsidRPr="001F04E9">
              <w:rPr>
                <w:rFonts w:ascii="Times New Roman" w:hAnsi="Times New Roman" w:cs="Times New Roman"/>
                <w:lang w:val="de-DE"/>
              </w:rPr>
              <w:t xml:space="preserve"> a </w:t>
            </w:r>
            <w:proofErr w:type="spellStart"/>
            <w:r w:rsidRPr="001F04E9">
              <w:rPr>
                <w:rFonts w:ascii="Times New Roman" w:hAnsi="Times New Roman" w:cs="Times New Roman"/>
                <w:lang w:val="de-DE"/>
              </w:rPr>
              <w:t>zjištěnou</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výši</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provádí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vláda</w:t>
            </w:r>
            <w:proofErr w:type="spellEnd"/>
            <w:r w:rsidRPr="001F04E9">
              <w:rPr>
                <w:rFonts w:ascii="Times New Roman" w:hAnsi="Times New Roman" w:cs="Times New Roman"/>
                <w:lang w:val="de-DE"/>
              </w:rPr>
              <w:t xml:space="preserve"> pro </w:t>
            </w:r>
            <w:proofErr w:type="spellStart"/>
            <w:r w:rsidRPr="001F04E9">
              <w:rPr>
                <w:rFonts w:ascii="Times New Roman" w:hAnsi="Times New Roman" w:cs="Times New Roman"/>
                <w:lang w:val="de-DE"/>
              </w:rPr>
              <w:t>letošní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rok</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změnu</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ustanovení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zákona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dle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něhož</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již</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byla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vypočtena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výše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valorizace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jedná</w:t>
            </w:r>
            <w:proofErr w:type="spellEnd"/>
            <w:r w:rsidRPr="001F04E9">
              <w:rPr>
                <w:rFonts w:ascii="Times New Roman" w:hAnsi="Times New Roman" w:cs="Times New Roman"/>
                <w:lang w:val="de-DE"/>
              </w:rPr>
              <w:t xml:space="preserve"> se o </w:t>
            </w:r>
            <w:proofErr w:type="spellStart"/>
            <w:r w:rsidRPr="001F04E9">
              <w:rPr>
                <w:rFonts w:ascii="Times New Roman" w:hAnsi="Times New Roman" w:cs="Times New Roman"/>
                <w:lang w:val="de-DE"/>
              </w:rPr>
              <w:t>změnu</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zákonných</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pravidel</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která</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již</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nastala</w:t>
            </w:r>
            <w:proofErr w:type="spellEnd"/>
            <w:r w:rsidRPr="001F04E9">
              <w:rPr>
                <w:rFonts w:ascii="Times New Roman" w:hAnsi="Times New Roman" w:cs="Times New Roman"/>
                <w:lang w:val="de-DE"/>
              </w:rPr>
              <w:t xml:space="preserve"> a   </w:t>
            </w:r>
            <w:proofErr w:type="spellStart"/>
            <w:r w:rsidRPr="001F04E9">
              <w:rPr>
                <w:rFonts w:ascii="Times New Roman" w:hAnsi="Times New Roman" w:cs="Times New Roman"/>
                <w:lang w:val="de-DE"/>
              </w:rPr>
              <w:t>týkala</w:t>
            </w:r>
            <w:proofErr w:type="spellEnd"/>
            <w:r w:rsidRPr="001F04E9">
              <w:rPr>
                <w:rFonts w:ascii="Times New Roman" w:hAnsi="Times New Roman" w:cs="Times New Roman"/>
                <w:lang w:val="de-DE"/>
              </w:rPr>
              <w:t xml:space="preserve"> se </w:t>
            </w:r>
            <w:proofErr w:type="spellStart"/>
            <w:r w:rsidRPr="001F04E9">
              <w:rPr>
                <w:rFonts w:ascii="Times New Roman" w:hAnsi="Times New Roman" w:cs="Times New Roman"/>
                <w:lang w:val="de-DE"/>
              </w:rPr>
              <w:t>období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které</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již</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uplynulo</w:t>
            </w:r>
            <w:proofErr w:type="spellEnd"/>
            <w:r w:rsidRPr="001F04E9">
              <w:rPr>
                <w:rFonts w:ascii="Times New Roman" w:hAnsi="Times New Roman" w:cs="Times New Roman"/>
                <w:lang w:val="de-DE"/>
              </w:rPr>
              <w:t xml:space="preserve"> a </w:t>
            </w:r>
            <w:proofErr w:type="spellStart"/>
            <w:r w:rsidRPr="001F04E9">
              <w:rPr>
                <w:rFonts w:ascii="Times New Roman" w:hAnsi="Times New Roman" w:cs="Times New Roman"/>
                <w:lang w:val="de-DE"/>
              </w:rPr>
              <w:t>dokonce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již</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dle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lastRenderedPageBreak/>
              <w:t>nich</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byla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vypočtena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zákonná</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míra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valorizace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jen</w:t>
            </w:r>
            <w:proofErr w:type="spellEnd"/>
            <w:r w:rsidRPr="001F04E9">
              <w:rPr>
                <w:rFonts w:ascii="Times New Roman" w:hAnsi="Times New Roman" w:cs="Times New Roman"/>
                <w:lang w:val="de-DE"/>
              </w:rPr>
              <w:t xml:space="preserve"> se </w:t>
            </w:r>
            <w:proofErr w:type="spellStart"/>
            <w:r w:rsidRPr="001F04E9">
              <w:rPr>
                <w:rFonts w:ascii="Times New Roman" w:hAnsi="Times New Roman" w:cs="Times New Roman"/>
                <w:lang w:val="de-DE"/>
              </w:rPr>
              <w:t>zdá</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být</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příliš</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vysoká</w:t>
            </w:r>
            <w:proofErr w:type="spellEnd"/>
            <w:r w:rsidRPr="001F04E9">
              <w:rPr>
                <w:rFonts w:ascii="Times New Roman" w:hAnsi="Times New Roman" w:cs="Times New Roman"/>
                <w:lang w:val="de-DE"/>
              </w:rPr>
              <w:t xml:space="preserve"> a </w:t>
            </w:r>
            <w:proofErr w:type="spellStart"/>
            <w:r w:rsidRPr="001F04E9">
              <w:rPr>
                <w:rFonts w:ascii="Times New Roman" w:hAnsi="Times New Roman" w:cs="Times New Roman"/>
                <w:lang w:val="de-DE"/>
              </w:rPr>
              <w:t>proto</w:t>
            </w:r>
            <w:proofErr w:type="spellEnd"/>
            <w:r w:rsidRPr="001F04E9">
              <w:rPr>
                <w:rFonts w:ascii="Times New Roman" w:hAnsi="Times New Roman" w:cs="Times New Roman"/>
                <w:lang w:val="de-DE"/>
              </w:rPr>
              <w:t xml:space="preserve"> se </w:t>
            </w:r>
            <w:proofErr w:type="spellStart"/>
            <w:r w:rsidRPr="001F04E9">
              <w:rPr>
                <w:rFonts w:ascii="Times New Roman" w:hAnsi="Times New Roman" w:cs="Times New Roman"/>
                <w:lang w:val="de-DE"/>
              </w:rPr>
              <w:t>mají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pravidla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zpětně</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změnit</w:t>
            </w:r>
            <w:proofErr w:type="spellEnd"/>
            <w:r w:rsidRPr="001F04E9">
              <w:rPr>
                <w:rFonts w:ascii="Times New Roman" w:hAnsi="Times New Roman" w:cs="Times New Roman"/>
                <w:lang w:val="de-DE"/>
              </w:rPr>
              <w:t>,</w:t>
            </w:r>
          </w:p>
          <w:p w14:paraId="2D56F754" w14:textId="77777777" w:rsidR="001F04E9" w:rsidRPr="001F04E9" w:rsidRDefault="001F04E9" w:rsidP="001F04E9">
            <w:pPr>
              <w:pStyle w:val="Bezmezer"/>
              <w:numPr>
                <w:ilvl w:val="0"/>
                <w:numId w:val="36"/>
              </w:numPr>
              <w:ind w:left="268" w:hanging="268"/>
              <w:jc w:val="both"/>
              <w:rPr>
                <w:rFonts w:ascii="Times New Roman" w:hAnsi="Times New Roman" w:cs="Times New Roman"/>
                <w:lang w:val="de-DE"/>
              </w:rPr>
            </w:pPr>
            <w:proofErr w:type="spellStart"/>
            <w:r w:rsidRPr="001F04E9">
              <w:rPr>
                <w:rFonts w:ascii="Times New Roman" w:hAnsi="Times New Roman" w:cs="Times New Roman"/>
                <w:lang w:val="de-DE"/>
              </w:rPr>
              <w:t>místo</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nárokových</w:t>
            </w:r>
            <w:proofErr w:type="spellEnd"/>
            <w:r w:rsidRPr="001F04E9">
              <w:rPr>
                <w:rFonts w:ascii="Times New Roman" w:hAnsi="Times New Roman" w:cs="Times New Roman"/>
                <w:lang w:val="de-DE"/>
              </w:rPr>
              <w:t xml:space="preserve"> 11,5% </w:t>
            </w:r>
            <w:proofErr w:type="spellStart"/>
            <w:r w:rsidRPr="001F04E9">
              <w:rPr>
                <w:rFonts w:ascii="Times New Roman" w:hAnsi="Times New Roman" w:cs="Times New Roman"/>
                <w:lang w:val="de-DE"/>
              </w:rPr>
              <w:t>procentní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výměry</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dochází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ke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zvýšení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procentní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výměry</w:t>
            </w:r>
            <w:proofErr w:type="spellEnd"/>
            <w:r w:rsidRPr="001F04E9">
              <w:rPr>
                <w:rFonts w:ascii="Times New Roman" w:hAnsi="Times New Roman" w:cs="Times New Roman"/>
                <w:lang w:val="de-DE"/>
              </w:rPr>
              <w:t xml:space="preserve"> o 2,3%,</w:t>
            </w:r>
          </w:p>
          <w:p w14:paraId="7C5B1E8A" w14:textId="77777777" w:rsidR="001F04E9" w:rsidRPr="001F04E9" w:rsidRDefault="001F04E9" w:rsidP="001F04E9">
            <w:pPr>
              <w:pStyle w:val="Bezmezer"/>
              <w:numPr>
                <w:ilvl w:val="0"/>
                <w:numId w:val="36"/>
              </w:numPr>
              <w:ind w:left="268" w:hanging="268"/>
              <w:jc w:val="both"/>
              <w:rPr>
                <w:rFonts w:ascii="Times New Roman" w:hAnsi="Times New Roman" w:cs="Times New Roman"/>
                <w:lang w:val="de-DE"/>
              </w:rPr>
            </w:pPr>
            <w:r w:rsidRPr="001F04E9">
              <w:rPr>
                <w:rFonts w:ascii="Times New Roman" w:hAnsi="Times New Roman" w:cs="Times New Roman"/>
                <w:lang w:val="de-DE"/>
              </w:rPr>
              <w:t xml:space="preserve">u </w:t>
            </w:r>
            <w:proofErr w:type="spellStart"/>
            <w:r w:rsidRPr="001F04E9">
              <w:rPr>
                <w:rFonts w:ascii="Times New Roman" w:hAnsi="Times New Roman" w:cs="Times New Roman"/>
                <w:lang w:val="de-DE"/>
              </w:rPr>
              <w:t>nízkopříjmových</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důchodů</w:t>
            </w:r>
            <w:proofErr w:type="spellEnd"/>
            <w:r w:rsidRPr="001F04E9">
              <w:rPr>
                <w:rFonts w:ascii="Times New Roman" w:hAnsi="Times New Roman" w:cs="Times New Roman"/>
                <w:lang w:val="de-DE"/>
              </w:rPr>
              <w:t xml:space="preserve"> je </w:t>
            </w:r>
            <w:proofErr w:type="spellStart"/>
            <w:r w:rsidRPr="001F04E9">
              <w:rPr>
                <w:rFonts w:ascii="Times New Roman" w:hAnsi="Times New Roman" w:cs="Times New Roman"/>
                <w:lang w:val="de-DE"/>
              </w:rPr>
              <w:t>téměř</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zachována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původní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výše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valorizace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čím</w:t>
            </w:r>
            <w:proofErr w:type="spellEnd"/>
            <w:r w:rsidRPr="001F04E9">
              <w:rPr>
                <w:rFonts w:ascii="Times New Roman" w:hAnsi="Times New Roman" w:cs="Times New Roman"/>
                <w:lang w:val="de-DE"/>
              </w:rPr>
              <w:t xml:space="preserve"> je </w:t>
            </w:r>
            <w:proofErr w:type="spellStart"/>
            <w:r w:rsidRPr="001F04E9">
              <w:rPr>
                <w:rFonts w:ascii="Times New Roman" w:hAnsi="Times New Roman" w:cs="Times New Roman"/>
                <w:lang w:val="de-DE"/>
              </w:rPr>
              <w:t>však</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důchod</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vyšší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tím</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procento</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valorizace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klesá</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tím</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dochází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ke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značnému</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narušení</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vazby</w:t>
            </w:r>
            <w:proofErr w:type="spellEnd"/>
            <w:r w:rsidRPr="001F04E9">
              <w:rPr>
                <w:rFonts w:ascii="Times New Roman" w:hAnsi="Times New Roman" w:cs="Times New Roman"/>
                <w:lang w:val="de-DE"/>
              </w:rPr>
              <w:t xml:space="preserve"> na </w:t>
            </w:r>
            <w:proofErr w:type="spellStart"/>
            <w:r w:rsidRPr="001F04E9">
              <w:rPr>
                <w:rFonts w:ascii="Times New Roman" w:hAnsi="Times New Roman" w:cs="Times New Roman"/>
                <w:lang w:val="de-DE"/>
              </w:rPr>
              <w:t>zásluhovost</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důchodu</w:t>
            </w:r>
            <w:proofErr w:type="spellEnd"/>
            <w:r w:rsidRPr="001F04E9">
              <w:rPr>
                <w:rFonts w:ascii="Times New Roman" w:hAnsi="Times New Roman" w:cs="Times New Roman"/>
                <w:lang w:val="de-DE"/>
              </w:rPr>
              <w:t>, (</w:t>
            </w:r>
            <w:proofErr w:type="spellStart"/>
            <w:r w:rsidRPr="001F04E9">
              <w:rPr>
                <w:rFonts w:ascii="Times New Roman" w:hAnsi="Times New Roman" w:cs="Times New Roman"/>
                <w:lang w:val="de-DE"/>
              </w:rPr>
              <w:t>zatímco</w:t>
            </w:r>
            <w:proofErr w:type="spellEnd"/>
            <w:r w:rsidRPr="001F04E9">
              <w:rPr>
                <w:rFonts w:ascii="Times New Roman" w:hAnsi="Times New Roman" w:cs="Times New Roman"/>
                <w:lang w:val="de-DE"/>
              </w:rPr>
              <w:t xml:space="preserve"> u </w:t>
            </w:r>
            <w:proofErr w:type="spellStart"/>
            <w:r w:rsidRPr="001F04E9">
              <w:rPr>
                <w:rFonts w:ascii="Times New Roman" w:hAnsi="Times New Roman" w:cs="Times New Roman"/>
                <w:lang w:val="de-DE"/>
              </w:rPr>
              <w:t>nižších</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důchodů</w:t>
            </w:r>
            <w:proofErr w:type="spellEnd"/>
            <w:r w:rsidRPr="001F04E9">
              <w:rPr>
                <w:rFonts w:ascii="Times New Roman" w:hAnsi="Times New Roman" w:cs="Times New Roman"/>
                <w:lang w:val="de-DE"/>
              </w:rPr>
              <w:t xml:space="preserve"> se </w:t>
            </w:r>
            <w:proofErr w:type="spellStart"/>
            <w:r w:rsidRPr="001F04E9">
              <w:rPr>
                <w:rFonts w:ascii="Times New Roman" w:hAnsi="Times New Roman" w:cs="Times New Roman"/>
                <w:lang w:val="de-DE"/>
              </w:rPr>
              <w:t>jedná</w:t>
            </w:r>
            <w:proofErr w:type="spellEnd"/>
            <w:r w:rsidRPr="001F04E9">
              <w:rPr>
                <w:rFonts w:ascii="Times New Roman" w:hAnsi="Times New Roman" w:cs="Times New Roman"/>
                <w:lang w:val="de-DE"/>
              </w:rPr>
              <w:t xml:space="preserve"> o </w:t>
            </w:r>
            <w:proofErr w:type="spellStart"/>
            <w:r w:rsidRPr="001F04E9">
              <w:rPr>
                <w:rFonts w:ascii="Times New Roman" w:hAnsi="Times New Roman" w:cs="Times New Roman"/>
                <w:lang w:val="de-DE"/>
              </w:rPr>
              <w:t>ztrátu</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nulovou</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nebo</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ve</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výši</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stovek</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korun</w:t>
            </w:r>
            <w:proofErr w:type="spellEnd"/>
            <w:r w:rsidRPr="001F04E9">
              <w:rPr>
                <w:rFonts w:ascii="Times New Roman" w:hAnsi="Times New Roman" w:cs="Times New Roman"/>
                <w:lang w:val="de-DE"/>
              </w:rPr>
              <w:t xml:space="preserve">, u </w:t>
            </w:r>
            <w:proofErr w:type="spellStart"/>
            <w:r w:rsidRPr="001F04E9">
              <w:rPr>
                <w:rFonts w:ascii="Times New Roman" w:hAnsi="Times New Roman" w:cs="Times New Roman"/>
                <w:lang w:val="de-DE"/>
              </w:rPr>
              <w:t>průměrného</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důchodu</w:t>
            </w:r>
            <w:proofErr w:type="spellEnd"/>
            <w:r w:rsidRPr="001F04E9">
              <w:rPr>
                <w:rFonts w:ascii="Times New Roman" w:hAnsi="Times New Roman" w:cs="Times New Roman"/>
                <w:lang w:val="de-DE"/>
              </w:rPr>
              <w:t xml:space="preserve"> se </w:t>
            </w:r>
            <w:proofErr w:type="spellStart"/>
            <w:r w:rsidRPr="001F04E9">
              <w:rPr>
                <w:rFonts w:ascii="Times New Roman" w:hAnsi="Times New Roman" w:cs="Times New Roman"/>
                <w:lang w:val="de-DE"/>
              </w:rPr>
              <w:t>jedná</w:t>
            </w:r>
            <w:proofErr w:type="spellEnd"/>
            <w:r w:rsidRPr="001F04E9">
              <w:rPr>
                <w:rFonts w:ascii="Times New Roman" w:hAnsi="Times New Roman" w:cs="Times New Roman"/>
                <w:lang w:val="de-DE"/>
              </w:rPr>
              <w:t xml:space="preserve"> o </w:t>
            </w:r>
            <w:proofErr w:type="spellStart"/>
            <w:r w:rsidRPr="001F04E9">
              <w:rPr>
                <w:rFonts w:ascii="Times New Roman" w:hAnsi="Times New Roman" w:cs="Times New Roman"/>
                <w:lang w:val="de-DE"/>
              </w:rPr>
              <w:t>ztrátu</w:t>
            </w:r>
            <w:proofErr w:type="spellEnd"/>
            <w:r w:rsidRPr="001F04E9">
              <w:rPr>
                <w:rFonts w:ascii="Times New Roman" w:hAnsi="Times New Roman" w:cs="Times New Roman"/>
                <w:lang w:val="de-DE"/>
              </w:rPr>
              <w:t xml:space="preserve"> 1000 </w:t>
            </w:r>
            <w:proofErr w:type="spellStart"/>
            <w:r w:rsidRPr="001F04E9">
              <w:rPr>
                <w:rFonts w:ascii="Times New Roman" w:hAnsi="Times New Roman" w:cs="Times New Roman"/>
                <w:lang w:val="de-DE"/>
              </w:rPr>
              <w:t>Kč</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měsíčně</w:t>
            </w:r>
            <w:proofErr w:type="spellEnd"/>
            <w:r w:rsidRPr="001F04E9">
              <w:rPr>
                <w:rFonts w:ascii="Times New Roman" w:hAnsi="Times New Roman" w:cs="Times New Roman"/>
                <w:lang w:val="de-DE"/>
              </w:rPr>
              <w:t xml:space="preserve">, u </w:t>
            </w:r>
            <w:proofErr w:type="spellStart"/>
            <w:r w:rsidRPr="001F04E9">
              <w:rPr>
                <w:rFonts w:ascii="Times New Roman" w:hAnsi="Times New Roman" w:cs="Times New Roman"/>
                <w:lang w:val="de-DE"/>
              </w:rPr>
              <w:t>důchodů</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vyšších</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až</w:t>
            </w:r>
            <w:proofErr w:type="spellEnd"/>
            <w:r w:rsidRPr="001F04E9">
              <w:rPr>
                <w:rFonts w:ascii="Times New Roman" w:hAnsi="Times New Roman" w:cs="Times New Roman"/>
                <w:lang w:val="de-DE"/>
              </w:rPr>
              <w:t xml:space="preserve"> 3000 </w:t>
            </w:r>
            <w:proofErr w:type="spellStart"/>
            <w:r w:rsidRPr="001F04E9">
              <w:rPr>
                <w:rFonts w:ascii="Times New Roman" w:hAnsi="Times New Roman" w:cs="Times New Roman"/>
                <w:lang w:val="de-DE"/>
              </w:rPr>
              <w:t>Kč</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měsíčně</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viz</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tabulka</w:t>
            </w:r>
            <w:proofErr w:type="spellEnd"/>
            <w:r w:rsidRPr="001F04E9">
              <w:rPr>
                <w:rFonts w:ascii="Times New Roman" w:hAnsi="Times New Roman" w:cs="Times New Roman"/>
                <w:lang w:val="de-DE"/>
              </w:rPr>
              <w:t xml:space="preserve"> </w:t>
            </w:r>
            <w:proofErr w:type="spellStart"/>
            <w:r w:rsidRPr="001F04E9">
              <w:rPr>
                <w:rFonts w:ascii="Times New Roman" w:hAnsi="Times New Roman" w:cs="Times New Roman"/>
                <w:lang w:val="de-DE"/>
              </w:rPr>
              <w:t>níže</w:t>
            </w:r>
            <w:proofErr w:type="spellEnd"/>
            <w:r w:rsidRPr="001F04E9">
              <w:rPr>
                <w:rFonts w:ascii="Times New Roman" w:hAnsi="Times New Roman" w:cs="Times New Roman"/>
                <w:lang w:val="de-DE"/>
              </w:rPr>
              <w:t xml:space="preserve">)  </w:t>
            </w:r>
          </w:p>
          <w:p w14:paraId="3538FF37" w14:textId="2D73C737" w:rsidR="00164BE1" w:rsidRDefault="00AE3820" w:rsidP="002535F2">
            <w:pPr>
              <w:pStyle w:val="Bezmezer"/>
              <w:jc w:val="both"/>
              <w:rPr>
                <w:rFonts w:ascii="Times New Roman" w:hAnsi="Times New Roman" w:cs="Times New Roman"/>
              </w:rPr>
            </w:pPr>
            <w:r w:rsidRPr="00AE3820">
              <w:rPr>
                <w:rFonts w:ascii="Times New Roman" w:eastAsia="Calibri" w:hAnsi="Times New Roman" w:cs="Times New Roman"/>
                <w:noProof/>
                <w:color w:val="000000"/>
                <w:sz w:val="24"/>
                <w:szCs w:val="24"/>
                <w:u w:color="000000"/>
                <w:bdr w:val="nil"/>
                <w:lang w:eastAsia="cs-CZ"/>
              </w:rPr>
              <w:drawing>
                <wp:inline distT="0" distB="0" distL="0" distR="0" wp14:anchorId="4DAE5495" wp14:editId="2F3C29A1">
                  <wp:extent cx="3642970" cy="28824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l="13586" t="5539"/>
                          <a:stretch>
                            <a:fillRect/>
                          </a:stretch>
                        </pic:blipFill>
                        <pic:spPr bwMode="auto">
                          <a:xfrm>
                            <a:off x="0" y="0"/>
                            <a:ext cx="3684978" cy="2915693"/>
                          </a:xfrm>
                          <a:prstGeom prst="rect">
                            <a:avLst/>
                          </a:prstGeom>
                          <a:noFill/>
                          <a:ln>
                            <a:noFill/>
                          </a:ln>
                        </pic:spPr>
                      </pic:pic>
                    </a:graphicData>
                  </a:graphic>
                </wp:inline>
              </w:drawing>
            </w:r>
          </w:p>
          <w:p w14:paraId="2FDE9782" w14:textId="77777777" w:rsidR="00AE3820" w:rsidRDefault="00AE3820" w:rsidP="002535F2">
            <w:pPr>
              <w:pStyle w:val="Bezmezer"/>
              <w:jc w:val="both"/>
              <w:rPr>
                <w:rFonts w:ascii="Times New Roman" w:hAnsi="Times New Roman" w:cs="Times New Roman"/>
              </w:rPr>
            </w:pPr>
          </w:p>
          <w:p w14:paraId="04099CC5" w14:textId="2B6E1D88" w:rsidR="003478AA" w:rsidRPr="003478AA" w:rsidRDefault="003478AA" w:rsidP="003478AA">
            <w:pPr>
              <w:pStyle w:val="Bezmezer"/>
              <w:numPr>
                <w:ilvl w:val="0"/>
                <w:numId w:val="36"/>
              </w:numPr>
              <w:ind w:left="126" w:hanging="126"/>
              <w:jc w:val="both"/>
              <w:rPr>
                <w:rFonts w:ascii="Times New Roman" w:hAnsi="Times New Roman" w:cs="Times New Roman"/>
                <w:lang w:val="de-DE"/>
              </w:rPr>
            </w:pPr>
            <w:proofErr w:type="spellStart"/>
            <w:r w:rsidRPr="003478AA">
              <w:rPr>
                <w:rFonts w:ascii="Times New Roman" w:hAnsi="Times New Roman" w:cs="Times New Roman"/>
                <w:lang w:val="de-DE"/>
              </w:rPr>
              <w:t>zákon</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ukládá</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navyšovat</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procentní</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výměru</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důchodu</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přesto</w:t>
            </w:r>
            <w:proofErr w:type="spellEnd"/>
            <w:r w:rsidRPr="003478AA">
              <w:rPr>
                <w:rFonts w:ascii="Times New Roman" w:hAnsi="Times New Roman" w:cs="Times New Roman"/>
                <w:lang w:val="de-DE"/>
              </w:rPr>
              <w:t xml:space="preserve"> pro </w:t>
            </w:r>
            <w:proofErr w:type="spellStart"/>
            <w:r w:rsidRPr="003478AA">
              <w:rPr>
                <w:rFonts w:ascii="Times New Roman" w:hAnsi="Times New Roman" w:cs="Times New Roman"/>
                <w:lang w:val="de-DE"/>
              </w:rPr>
              <w:t>výraznou</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část</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důchodů</w:t>
            </w:r>
            <w:proofErr w:type="spellEnd"/>
            <w:r w:rsidRPr="003478AA">
              <w:rPr>
                <w:rFonts w:ascii="Times New Roman" w:hAnsi="Times New Roman" w:cs="Times New Roman"/>
                <w:lang w:val="de-DE"/>
              </w:rPr>
              <w:t xml:space="preserve"> se </w:t>
            </w:r>
            <w:proofErr w:type="spellStart"/>
            <w:r w:rsidRPr="003478AA">
              <w:rPr>
                <w:rFonts w:ascii="Times New Roman" w:hAnsi="Times New Roman" w:cs="Times New Roman"/>
                <w:lang w:val="de-DE"/>
              </w:rPr>
              <w:t>zvyšuje</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převážně</w:t>
            </w:r>
            <w:proofErr w:type="spellEnd"/>
            <w:r w:rsidRPr="003478AA">
              <w:rPr>
                <w:rFonts w:ascii="Times New Roman" w:hAnsi="Times New Roman" w:cs="Times New Roman"/>
                <w:lang w:val="de-DE"/>
              </w:rPr>
              <w:t xml:space="preserve"> o </w:t>
            </w:r>
            <w:proofErr w:type="spellStart"/>
            <w:r w:rsidRPr="003478AA">
              <w:rPr>
                <w:rFonts w:ascii="Times New Roman" w:hAnsi="Times New Roman" w:cs="Times New Roman"/>
                <w:lang w:val="de-DE"/>
              </w:rPr>
              <w:t>pevnou</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částku</w:t>
            </w:r>
            <w:proofErr w:type="spellEnd"/>
            <w:r w:rsidRPr="003478AA">
              <w:rPr>
                <w:rFonts w:ascii="Times New Roman" w:hAnsi="Times New Roman" w:cs="Times New Roman"/>
                <w:lang w:val="de-DE"/>
              </w:rPr>
              <w:t xml:space="preserve"> (400</w:t>
            </w:r>
            <w:r w:rsidR="00AF6606">
              <w:rPr>
                <w:rFonts w:ascii="Times New Roman" w:hAnsi="Times New Roman" w:cs="Times New Roman"/>
                <w:lang w:val="de-DE"/>
              </w:rPr>
              <w:t xml:space="preserve"> </w:t>
            </w:r>
            <w:proofErr w:type="spellStart"/>
            <w:r w:rsidRPr="003478AA">
              <w:rPr>
                <w:rFonts w:ascii="Times New Roman" w:hAnsi="Times New Roman" w:cs="Times New Roman"/>
                <w:lang w:val="de-DE"/>
              </w:rPr>
              <w:t>Kč</w:t>
            </w:r>
            <w:proofErr w:type="spellEnd"/>
            <w:r w:rsidRPr="003478AA">
              <w:rPr>
                <w:rFonts w:ascii="Times New Roman" w:hAnsi="Times New Roman" w:cs="Times New Roman"/>
                <w:lang w:val="de-DE"/>
              </w:rPr>
              <w:t xml:space="preserve"> pro </w:t>
            </w:r>
            <w:proofErr w:type="spellStart"/>
            <w:r w:rsidRPr="003478AA">
              <w:rPr>
                <w:rFonts w:ascii="Times New Roman" w:hAnsi="Times New Roman" w:cs="Times New Roman"/>
                <w:lang w:val="de-DE"/>
              </w:rPr>
              <w:t>všechny</w:t>
            </w:r>
            <w:proofErr w:type="spellEnd"/>
            <w:r w:rsidRPr="003478AA">
              <w:rPr>
                <w:rFonts w:ascii="Times New Roman" w:hAnsi="Times New Roman" w:cs="Times New Roman"/>
                <w:lang w:val="de-DE"/>
              </w:rPr>
              <w:t>),</w:t>
            </w:r>
          </w:p>
          <w:p w14:paraId="3A3E9844" w14:textId="77777777" w:rsidR="002F7554" w:rsidRDefault="003478AA" w:rsidP="003478AA">
            <w:pPr>
              <w:pStyle w:val="Bezmezer"/>
              <w:numPr>
                <w:ilvl w:val="0"/>
                <w:numId w:val="36"/>
              </w:numPr>
              <w:ind w:left="126" w:hanging="126"/>
              <w:jc w:val="both"/>
              <w:rPr>
                <w:rFonts w:ascii="Times New Roman" w:hAnsi="Times New Roman" w:cs="Times New Roman"/>
                <w:lang w:val="de-DE"/>
              </w:rPr>
            </w:pPr>
            <w:proofErr w:type="spellStart"/>
            <w:r w:rsidRPr="003478AA">
              <w:rPr>
                <w:rFonts w:ascii="Times New Roman" w:hAnsi="Times New Roman" w:cs="Times New Roman"/>
                <w:lang w:val="de-DE"/>
              </w:rPr>
              <w:lastRenderedPageBreak/>
              <w:t>oproti</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smyslu</w:t>
            </w:r>
            <w:proofErr w:type="spellEnd"/>
            <w:r w:rsidRPr="003478AA">
              <w:rPr>
                <w:rFonts w:ascii="Times New Roman" w:hAnsi="Times New Roman" w:cs="Times New Roman"/>
                <w:lang w:val="de-DE"/>
              </w:rPr>
              <w:t xml:space="preserve"> a </w:t>
            </w:r>
            <w:proofErr w:type="spellStart"/>
            <w:r w:rsidRPr="003478AA">
              <w:rPr>
                <w:rFonts w:ascii="Times New Roman" w:hAnsi="Times New Roman" w:cs="Times New Roman"/>
                <w:lang w:val="de-DE"/>
              </w:rPr>
              <w:t>účelu</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zákona</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dochází</w:t>
            </w:r>
            <w:proofErr w:type="spellEnd"/>
            <w:r w:rsidRPr="003478AA">
              <w:rPr>
                <w:rFonts w:ascii="Times New Roman" w:hAnsi="Times New Roman" w:cs="Times New Roman"/>
                <w:lang w:val="de-DE"/>
              </w:rPr>
              <w:t xml:space="preserve"> k </w:t>
            </w:r>
            <w:proofErr w:type="spellStart"/>
            <w:r w:rsidRPr="003478AA">
              <w:rPr>
                <w:rFonts w:ascii="Times New Roman" w:hAnsi="Times New Roman" w:cs="Times New Roman"/>
                <w:lang w:val="de-DE"/>
              </w:rPr>
              <w:t>plošnému</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navýšení</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důchodů</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čímž</w:t>
            </w:r>
            <w:proofErr w:type="spellEnd"/>
            <w:r w:rsidRPr="003478AA">
              <w:rPr>
                <w:rFonts w:ascii="Times New Roman" w:hAnsi="Times New Roman" w:cs="Times New Roman"/>
                <w:lang w:val="de-DE"/>
              </w:rPr>
              <w:t xml:space="preserve"> se </w:t>
            </w:r>
            <w:proofErr w:type="spellStart"/>
            <w:r w:rsidRPr="003478AA">
              <w:rPr>
                <w:rFonts w:ascii="Times New Roman" w:hAnsi="Times New Roman" w:cs="Times New Roman"/>
                <w:lang w:val="de-DE"/>
              </w:rPr>
              <w:t>zásadně</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popírá</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princip</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zásluhovosti</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typický</w:t>
            </w:r>
            <w:proofErr w:type="spellEnd"/>
            <w:r w:rsidRPr="003478AA">
              <w:rPr>
                <w:rFonts w:ascii="Times New Roman" w:hAnsi="Times New Roman" w:cs="Times New Roman"/>
                <w:lang w:val="de-DE"/>
              </w:rPr>
              <w:t xml:space="preserve"> pro </w:t>
            </w:r>
            <w:proofErr w:type="spellStart"/>
            <w:r w:rsidRPr="003478AA">
              <w:rPr>
                <w:rFonts w:ascii="Times New Roman" w:hAnsi="Times New Roman" w:cs="Times New Roman"/>
                <w:lang w:val="de-DE"/>
              </w:rPr>
              <w:t>subsystém</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sociálního</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pojištění</w:t>
            </w:r>
            <w:proofErr w:type="spellEnd"/>
          </w:p>
          <w:p w14:paraId="353778BE" w14:textId="77777777" w:rsidR="002F7554" w:rsidRDefault="002F7554" w:rsidP="002F7554">
            <w:pPr>
              <w:pStyle w:val="Bezmezer"/>
              <w:jc w:val="both"/>
              <w:rPr>
                <w:rFonts w:ascii="Times New Roman" w:hAnsi="Times New Roman" w:cs="Times New Roman"/>
                <w:lang w:val="de-DE"/>
              </w:rPr>
            </w:pPr>
          </w:p>
          <w:p w14:paraId="5C0C99CA" w14:textId="77777777" w:rsidR="002F7554" w:rsidRDefault="002F7554" w:rsidP="002F7554">
            <w:pPr>
              <w:pStyle w:val="Bezmezer"/>
              <w:jc w:val="both"/>
              <w:rPr>
                <w:rFonts w:ascii="Times New Roman" w:hAnsi="Times New Roman" w:cs="Times New Roman"/>
                <w:lang w:val="de-DE"/>
              </w:rPr>
            </w:pPr>
          </w:p>
          <w:p w14:paraId="1A9FFB78" w14:textId="77777777" w:rsidR="002F7554" w:rsidRDefault="002F7554" w:rsidP="002F7554">
            <w:pPr>
              <w:pStyle w:val="Bezmezer"/>
              <w:jc w:val="both"/>
              <w:rPr>
                <w:rFonts w:ascii="Times New Roman" w:hAnsi="Times New Roman" w:cs="Times New Roman"/>
                <w:lang w:val="de-DE"/>
              </w:rPr>
            </w:pPr>
          </w:p>
          <w:p w14:paraId="4B90306B" w14:textId="77777777" w:rsidR="002F7554" w:rsidRDefault="002F7554" w:rsidP="002F7554">
            <w:pPr>
              <w:pStyle w:val="Bezmezer"/>
              <w:jc w:val="both"/>
              <w:rPr>
                <w:rFonts w:ascii="Times New Roman" w:hAnsi="Times New Roman" w:cs="Times New Roman"/>
                <w:lang w:val="de-DE"/>
              </w:rPr>
            </w:pPr>
          </w:p>
          <w:p w14:paraId="56AC9838" w14:textId="77777777" w:rsidR="002F7554" w:rsidRDefault="002F7554" w:rsidP="002F7554">
            <w:pPr>
              <w:pStyle w:val="Bezmezer"/>
              <w:jc w:val="both"/>
              <w:rPr>
                <w:rFonts w:ascii="Times New Roman" w:hAnsi="Times New Roman" w:cs="Times New Roman"/>
                <w:lang w:val="de-DE"/>
              </w:rPr>
            </w:pPr>
          </w:p>
          <w:p w14:paraId="7AF43828" w14:textId="77777777" w:rsidR="002F7554" w:rsidRDefault="002F7554" w:rsidP="002F7554">
            <w:pPr>
              <w:pStyle w:val="Bezmezer"/>
              <w:jc w:val="both"/>
              <w:rPr>
                <w:rFonts w:ascii="Times New Roman" w:hAnsi="Times New Roman" w:cs="Times New Roman"/>
                <w:lang w:val="de-DE"/>
              </w:rPr>
            </w:pPr>
          </w:p>
          <w:p w14:paraId="60EF86A6" w14:textId="77777777" w:rsidR="002F7554" w:rsidRDefault="002F7554" w:rsidP="002F7554">
            <w:pPr>
              <w:pStyle w:val="Bezmezer"/>
              <w:jc w:val="both"/>
              <w:rPr>
                <w:rFonts w:ascii="Times New Roman" w:hAnsi="Times New Roman" w:cs="Times New Roman"/>
                <w:lang w:val="de-DE"/>
              </w:rPr>
            </w:pPr>
          </w:p>
          <w:p w14:paraId="7FCFEDE1" w14:textId="600D6751" w:rsidR="003478AA" w:rsidRPr="003478AA" w:rsidRDefault="003478AA" w:rsidP="002F7554">
            <w:pPr>
              <w:pStyle w:val="Bezmezer"/>
              <w:jc w:val="both"/>
              <w:rPr>
                <w:rFonts w:ascii="Times New Roman" w:hAnsi="Times New Roman" w:cs="Times New Roman"/>
                <w:lang w:val="de-DE"/>
              </w:rPr>
            </w:pPr>
            <w:r w:rsidRPr="003478AA">
              <w:rPr>
                <w:rFonts w:ascii="Times New Roman" w:hAnsi="Times New Roman" w:cs="Times New Roman"/>
                <w:lang w:val="de-DE"/>
              </w:rPr>
              <w:t xml:space="preserve"> </w:t>
            </w:r>
          </w:p>
          <w:p w14:paraId="66E5D968" w14:textId="77777777" w:rsidR="003478AA" w:rsidRPr="003478AA" w:rsidRDefault="003478AA" w:rsidP="003478AA">
            <w:pPr>
              <w:pStyle w:val="Bezmezer"/>
              <w:numPr>
                <w:ilvl w:val="0"/>
                <w:numId w:val="36"/>
              </w:numPr>
              <w:ind w:left="126" w:hanging="126"/>
              <w:jc w:val="both"/>
              <w:rPr>
                <w:rFonts w:ascii="Times New Roman" w:hAnsi="Times New Roman" w:cs="Times New Roman"/>
                <w:lang w:val="de-DE"/>
              </w:rPr>
            </w:pPr>
            <w:proofErr w:type="spellStart"/>
            <w:r w:rsidRPr="003478AA">
              <w:rPr>
                <w:rFonts w:ascii="Times New Roman" w:hAnsi="Times New Roman" w:cs="Times New Roman"/>
                <w:lang w:val="de-DE"/>
              </w:rPr>
              <w:t>návrh</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zákona</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neprošel</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standardním</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připomínkovým</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řízením</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nebyl</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projednán</w:t>
            </w:r>
            <w:proofErr w:type="spellEnd"/>
            <w:r w:rsidRPr="003478AA">
              <w:rPr>
                <w:rFonts w:ascii="Times New Roman" w:hAnsi="Times New Roman" w:cs="Times New Roman"/>
                <w:lang w:val="de-DE"/>
              </w:rPr>
              <w:t xml:space="preserve"> se </w:t>
            </w:r>
            <w:proofErr w:type="spellStart"/>
            <w:r w:rsidRPr="003478AA">
              <w:rPr>
                <w:rFonts w:ascii="Times New Roman" w:hAnsi="Times New Roman" w:cs="Times New Roman"/>
                <w:lang w:val="de-DE"/>
              </w:rPr>
              <w:t>sociálními</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partnery</w:t>
            </w:r>
            <w:proofErr w:type="spellEnd"/>
            <w:r w:rsidRPr="003478AA">
              <w:rPr>
                <w:rFonts w:ascii="Times New Roman" w:hAnsi="Times New Roman" w:cs="Times New Roman"/>
                <w:lang w:val="de-DE"/>
              </w:rPr>
              <w:t>, v </w:t>
            </w:r>
            <w:proofErr w:type="spellStart"/>
            <w:r w:rsidRPr="003478AA">
              <w:rPr>
                <w:rFonts w:ascii="Times New Roman" w:hAnsi="Times New Roman" w:cs="Times New Roman"/>
                <w:lang w:val="de-DE"/>
              </w:rPr>
              <w:t>orgánech</w:t>
            </w:r>
            <w:proofErr w:type="spellEnd"/>
            <w:r w:rsidRPr="003478AA">
              <w:rPr>
                <w:rFonts w:ascii="Times New Roman" w:hAnsi="Times New Roman" w:cs="Times New Roman"/>
                <w:lang w:val="de-DE"/>
              </w:rPr>
              <w:t xml:space="preserve"> LRV, </w:t>
            </w:r>
            <w:proofErr w:type="spellStart"/>
            <w:r w:rsidRPr="003478AA">
              <w:rPr>
                <w:rFonts w:ascii="Times New Roman" w:hAnsi="Times New Roman" w:cs="Times New Roman"/>
                <w:lang w:val="de-DE"/>
              </w:rPr>
              <w:t>nebude</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schvalován</w:t>
            </w:r>
            <w:proofErr w:type="spellEnd"/>
            <w:r w:rsidRPr="003478AA">
              <w:rPr>
                <w:rFonts w:ascii="Times New Roman" w:hAnsi="Times New Roman" w:cs="Times New Roman"/>
                <w:lang w:val="de-DE"/>
              </w:rPr>
              <w:t xml:space="preserve"> na LRV, </w:t>
            </w:r>
            <w:proofErr w:type="spellStart"/>
            <w:r w:rsidRPr="003478AA">
              <w:rPr>
                <w:rFonts w:ascii="Times New Roman" w:hAnsi="Times New Roman" w:cs="Times New Roman"/>
                <w:lang w:val="de-DE"/>
              </w:rPr>
              <w:t>přestože</w:t>
            </w:r>
            <w:proofErr w:type="spellEnd"/>
            <w:r w:rsidRPr="003478AA">
              <w:rPr>
                <w:rFonts w:ascii="Times New Roman" w:hAnsi="Times New Roman" w:cs="Times New Roman"/>
                <w:lang w:val="de-DE"/>
              </w:rPr>
              <w:t xml:space="preserve"> se </w:t>
            </w:r>
            <w:proofErr w:type="spellStart"/>
            <w:r w:rsidRPr="003478AA">
              <w:rPr>
                <w:rFonts w:ascii="Times New Roman" w:hAnsi="Times New Roman" w:cs="Times New Roman"/>
                <w:lang w:val="de-DE"/>
              </w:rPr>
              <w:t>zásadně</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dotýká</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sociálních</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práv</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občanů</w:t>
            </w:r>
            <w:proofErr w:type="spellEnd"/>
            <w:r w:rsidRPr="003478AA">
              <w:rPr>
                <w:rFonts w:ascii="Times New Roman" w:hAnsi="Times New Roman" w:cs="Times New Roman"/>
                <w:lang w:val="de-DE"/>
              </w:rPr>
              <w:t>. K </w:t>
            </w:r>
            <w:proofErr w:type="spellStart"/>
            <w:r w:rsidRPr="003478AA">
              <w:rPr>
                <w:rFonts w:ascii="Times New Roman" w:hAnsi="Times New Roman" w:cs="Times New Roman"/>
                <w:lang w:val="de-DE"/>
              </w:rPr>
              <w:t>posouzení</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tohoto</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návrhu</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byla</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poskytnuta</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lhůta</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pouze</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jednoho</w:t>
            </w:r>
            <w:proofErr w:type="spellEnd"/>
            <w:r w:rsidRPr="003478AA">
              <w:rPr>
                <w:rFonts w:ascii="Times New Roman" w:hAnsi="Times New Roman" w:cs="Times New Roman"/>
                <w:lang w:val="de-DE"/>
              </w:rPr>
              <w:t xml:space="preserve"> </w:t>
            </w:r>
            <w:proofErr w:type="spellStart"/>
            <w:r w:rsidRPr="003478AA">
              <w:rPr>
                <w:rFonts w:ascii="Times New Roman" w:hAnsi="Times New Roman" w:cs="Times New Roman"/>
                <w:lang w:val="de-DE"/>
              </w:rPr>
              <w:t>dne</w:t>
            </w:r>
            <w:proofErr w:type="spellEnd"/>
            <w:r w:rsidRPr="003478AA">
              <w:rPr>
                <w:rFonts w:ascii="Times New Roman" w:hAnsi="Times New Roman" w:cs="Times New Roman"/>
                <w:lang w:val="de-DE"/>
              </w:rPr>
              <w:t xml:space="preserve">. </w:t>
            </w:r>
          </w:p>
          <w:p w14:paraId="1AD2509D" w14:textId="77777777" w:rsidR="003478AA" w:rsidRPr="003478AA" w:rsidRDefault="003478AA" w:rsidP="003478AA">
            <w:pPr>
              <w:pStyle w:val="Bezmezer"/>
              <w:jc w:val="both"/>
              <w:rPr>
                <w:rFonts w:ascii="Times New Roman" w:hAnsi="Times New Roman" w:cs="Times New Roman"/>
                <w:b/>
                <w:bCs/>
                <w:sz w:val="16"/>
                <w:szCs w:val="16"/>
              </w:rPr>
            </w:pPr>
          </w:p>
          <w:p w14:paraId="2F7CF246" w14:textId="24407532" w:rsidR="00AE3820" w:rsidRPr="003478AA" w:rsidRDefault="003478AA" w:rsidP="002535F2">
            <w:pPr>
              <w:pStyle w:val="Bezmezer"/>
              <w:jc w:val="both"/>
              <w:rPr>
                <w:rFonts w:ascii="Times New Roman" w:hAnsi="Times New Roman" w:cs="Times New Roman"/>
                <w:b/>
                <w:bCs/>
                <w:u w:val="single"/>
              </w:rPr>
            </w:pPr>
            <w:r w:rsidRPr="003478AA">
              <w:rPr>
                <w:rFonts w:ascii="Times New Roman" w:hAnsi="Times New Roman" w:cs="Times New Roman"/>
                <w:b/>
                <w:bCs/>
                <w:u w:val="single"/>
              </w:rPr>
              <w:t>Tyto připomínky jsou zásadní</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1C46A522" w14:textId="1318D7EC" w:rsidR="00164BE1" w:rsidRPr="009F650A" w:rsidRDefault="009F650A" w:rsidP="00193384">
            <w:pPr>
              <w:pStyle w:val="Bezmezer"/>
              <w:jc w:val="both"/>
              <w:rPr>
                <w:rFonts w:ascii="Times New Roman" w:hAnsi="Times New Roman" w:cs="Times New Roman"/>
                <w:b/>
                <w:bCs/>
              </w:rPr>
            </w:pPr>
            <w:r w:rsidRPr="009F650A">
              <w:rPr>
                <w:rFonts w:ascii="Times New Roman" w:hAnsi="Times New Roman" w:cs="Times New Roman"/>
                <w:b/>
                <w:bCs/>
              </w:rPr>
              <w:lastRenderedPageBreak/>
              <w:t>Neakceptováno</w:t>
            </w:r>
            <w:r w:rsidR="00327BEE">
              <w:rPr>
                <w:rFonts w:ascii="Times New Roman" w:hAnsi="Times New Roman" w:cs="Times New Roman"/>
                <w:b/>
                <w:bCs/>
              </w:rPr>
              <w:t>.</w:t>
            </w:r>
          </w:p>
          <w:p w14:paraId="0A89A8A4" w14:textId="77777777" w:rsidR="009F650A" w:rsidRDefault="009F650A" w:rsidP="00193384">
            <w:pPr>
              <w:pStyle w:val="Bezmezer"/>
              <w:jc w:val="both"/>
              <w:rPr>
                <w:rFonts w:ascii="Times New Roman" w:hAnsi="Times New Roman" w:cs="Times New Roman"/>
              </w:rPr>
            </w:pPr>
          </w:p>
          <w:p w14:paraId="5CA68F9F" w14:textId="77777777" w:rsidR="009F650A" w:rsidRDefault="009F650A" w:rsidP="00193384">
            <w:pPr>
              <w:pStyle w:val="Bezmezer"/>
              <w:jc w:val="both"/>
              <w:rPr>
                <w:rFonts w:ascii="Times New Roman" w:hAnsi="Times New Roman" w:cs="Times New Roman"/>
                <w:bCs/>
                <w:szCs w:val="24"/>
              </w:rPr>
            </w:pPr>
            <w:r>
              <w:rPr>
                <w:rFonts w:ascii="Times New Roman" w:hAnsi="Times New Roman" w:cs="Times New Roman"/>
              </w:rPr>
              <w:t>P</w:t>
            </w:r>
            <w:r w:rsidRPr="009F650A">
              <w:rPr>
                <w:rFonts w:ascii="Times New Roman" w:hAnsi="Times New Roman" w:cs="Times New Roman"/>
              </w:rPr>
              <w:t xml:space="preserve">ředkladatel vychází z názoru, že </w:t>
            </w:r>
            <w:r w:rsidRPr="009F650A">
              <w:rPr>
                <w:rFonts w:ascii="Times New Roman" w:hAnsi="Times New Roman" w:cs="Times New Roman"/>
                <w:bCs/>
                <w:szCs w:val="24"/>
              </w:rPr>
              <w:t>navržená úprava nepředstavuje nepřiměřený zásah do práv dotčených osob, neboť do doby vydání nařízení vlády o zvýšení důchodů nelze hovořit o silném legitimním očekávání a do dne nabytí jejich účinnosti nelze hovořit ani o nabytých právech.</w:t>
            </w:r>
          </w:p>
          <w:p w14:paraId="511EFE60" w14:textId="77777777" w:rsidR="00AF6606" w:rsidRDefault="00AF6606" w:rsidP="00193384">
            <w:pPr>
              <w:pStyle w:val="Bezmezer"/>
              <w:jc w:val="both"/>
              <w:rPr>
                <w:rFonts w:ascii="Times New Roman" w:hAnsi="Times New Roman" w:cs="Times New Roman"/>
                <w:bCs/>
                <w:szCs w:val="24"/>
              </w:rPr>
            </w:pPr>
          </w:p>
          <w:p w14:paraId="13ADF9B5" w14:textId="77777777" w:rsidR="00AF6606" w:rsidRDefault="00AF6606" w:rsidP="00193384">
            <w:pPr>
              <w:pStyle w:val="Bezmezer"/>
              <w:jc w:val="both"/>
              <w:rPr>
                <w:rFonts w:ascii="Times New Roman" w:hAnsi="Times New Roman" w:cs="Times New Roman"/>
                <w:bCs/>
                <w:szCs w:val="24"/>
              </w:rPr>
            </w:pPr>
          </w:p>
          <w:p w14:paraId="0EE4FEBF" w14:textId="77777777" w:rsidR="00AF6606" w:rsidRDefault="00AF6606" w:rsidP="00193384">
            <w:pPr>
              <w:pStyle w:val="Bezmezer"/>
              <w:jc w:val="both"/>
              <w:rPr>
                <w:rFonts w:ascii="Times New Roman" w:hAnsi="Times New Roman" w:cs="Times New Roman"/>
                <w:bCs/>
                <w:szCs w:val="24"/>
              </w:rPr>
            </w:pPr>
          </w:p>
          <w:p w14:paraId="5D27398B" w14:textId="77777777" w:rsidR="00AF6606" w:rsidRDefault="00AF6606" w:rsidP="00193384">
            <w:pPr>
              <w:pStyle w:val="Bezmezer"/>
              <w:jc w:val="both"/>
              <w:rPr>
                <w:rFonts w:ascii="Times New Roman" w:hAnsi="Times New Roman" w:cs="Times New Roman"/>
                <w:bCs/>
                <w:szCs w:val="24"/>
              </w:rPr>
            </w:pPr>
          </w:p>
          <w:p w14:paraId="197A5B59" w14:textId="77777777" w:rsidR="00AF6606" w:rsidRDefault="00AF6606" w:rsidP="00193384">
            <w:pPr>
              <w:pStyle w:val="Bezmezer"/>
              <w:jc w:val="both"/>
              <w:rPr>
                <w:rFonts w:ascii="Times New Roman" w:hAnsi="Times New Roman" w:cs="Times New Roman"/>
                <w:bCs/>
                <w:szCs w:val="24"/>
              </w:rPr>
            </w:pPr>
          </w:p>
          <w:p w14:paraId="0B8836C3" w14:textId="77777777" w:rsidR="00AF6606" w:rsidRDefault="00AF6606" w:rsidP="00193384">
            <w:pPr>
              <w:pStyle w:val="Bezmezer"/>
              <w:jc w:val="both"/>
              <w:rPr>
                <w:rFonts w:ascii="Times New Roman" w:hAnsi="Times New Roman" w:cs="Times New Roman"/>
                <w:bCs/>
                <w:szCs w:val="24"/>
              </w:rPr>
            </w:pPr>
          </w:p>
          <w:p w14:paraId="1D485347" w14:textId="77777777" w:rsidR="00AF6606" w:rsidRDefault="00AF6606" w:rsidP="00193384">
            <w:pPr>
              <w:pStyle w:val="Bezmezer"/>
              <w:jc w:val="both"/>
              <w:rPr>
                <w:rFonts w:ascii="Times New Roman" w:hAnsi="Times New Roman" w:cs="Times New Roman"/>
                <w:bCs/>
                <w:szCs w:val="24"/>
              </w:rPr>
            </w:pPr>
          </w:p>
          <w:p w14:paraId="3AE1FF59" w14:textId="77777777" w:rsidR="00AF6606" w:rsidRDefault="00AF6606" w:rsidP="00193384">
            <w:pPr>
              <w:pStyle w:val="Bezmezer"/>
              <w:jc w:val="both"/>
              <w:rPr>
                <w:rFonts w:ascii="Times New Roman" w:hAnsi="Times New Roman" w:cs="Times New Roman"/>
                <w:bCs/>
                <w:szCs w:val="24"/>
              </w:rPr>
            </w:pPr>
          </w:p>
          <w:p w14:paraId="4B92AED5" w14:textId="6E7C78D2" w:rsidR="00AF6606" w:rsidRDefault="00AF6606" w:rsidP="00193384">
            <w:pPr>
              <w:pStyle w:val="Bezmezer"/>
              <w:jc w:val="both"/>
              <w:rPr>
                <w:rFonts w:ascii="Times New Roman" w:hAnsi="Times New Roman" w:cs="Times New Roman"/>
              </w:rPr>
            </w:pPr>
            <w:r w:rsidRPr="009F650A">
              <w:rPr>
                <w:rFonts w:ascii="Times New Roman" w:hAnsi="Times New Roman" w:cs="Times New Roman"/>
              </w:rPr>
              <w:t>Při srovnání efektu zvýšení podle současných pravidel a návrhu nelze porovnávat 11,5 % a 2,3 %, neboť v návrhu je i pevná částka 400 Kč, která u průměrného starobního důchodu představuje zvýšení procentní výměry o dalších 2,6 %, tj. v úhrnu jde u tohoto důchodu o srovnání 11,5 % vs 4,9 %.</w:t>
            </w:r>
          </w:p>
          <w:p w14:paraId="3833F7EA" w14:textId="3CBAADF1" w:rsidR="00AF6606" w:rsidRDefault="00AF6606" w:rsidP="00193384">
            <w:pPr>
              <w:pStyle w:val="Bezmezer"/>
              <w:jc w:val="both"/>
              <w:rPr>
                <w:rFonts w:ascii="Times New Roman" w:hAnsi="Times New Roman" w:cs="Times New Roman"/>
              </w:rPr>
            </w:pPr>
          </w:p>
          <w:p w14:paraId="60AFB989" w14:textId="3A6FC0E0" w:rsidR="00AF6606" w:rsidRDefault="00AF6606" w:rsidP="00193384">
            <w:pPr>
              <w:pStyle w:val="Bezmezer"/>
              <w:jc w:val="both"/>
              <w:rPr>
                <w:rFonts w:ascii="Times New Roman" w:hAnsi="Times New Roman" w:cs="Times New Roman"/>
              </w:rPr>
            </w:pPr>
            <w:r w:rsidRPr="009F650A">
              <w:rPr>
                <w:rFonts w:ascii="Times New Roman" w:hAnsi="Times New Roman" w:cs="Times New Roman"/>
                <w:bCs/>
                <w:szCs w:val="24"/>
              </w:rPr>
              <w:t xml:space="preserve">Ohledně tvrzeného narušení zásluhovosti je třeba brát v úvahu, že </w:t>
            </w:r>
            <w:r w:rsidRPr="009F650A">
              <w:rPr>
                <w:rFonts w:ascii="Times New Roman" w:hAnsi="Times New Roman" w:cs="Times New Roman"/>
              </w:rPr>
              <w:t>u dvou mimořádných valorizací v loňském roce nebylo navyšování proporcionální, ale ve prospěch vyšších důchodů (u nichž procentní výměra představuje větší část z celkové výše důchodu).</w:t>
            </w:r>
            <w:r>
              <w:rPr>
                <w:rFonts w:ascii="Times New Roman" w:hAnsi="Times New Roman" w:cs="Times New Roman"/>
              </w:rPr>
              <w:t xml:space="preserve"> Tato disproporce se návrhem částečně narovnává.</w:t>
            </w:r>
          </w:p>
          <w:p w14:paraId="6C471C60" w14:textId="7F188841" w:rsidR="00AF6606" w:rsidRDefault="00AF6606" w:rsidP="00193384">
            <w:pPr>
              <w:pStyle w:val="Bezmezer"/>
              <w:jc w:val="both"/>
              <w:rPr>
                <w:rFonts w:ascii="Times New Roman" w:hAnsi="Times New Roman" w:cs="Times New Roman"/>
              </w:rPr>
            </w:pPr>
          </w:p>
          <w:p w14:paraId="6B302FB4" w14:textId="32A3039A" w:rsidR="00AF6606" w:rsidRDefault="00AF6606" w:rsidP="00193384">
            <w:pPr>
              <w:pStyle w:val="Bezmezer"/>
              <w:jc w:val="both"/>
              <w:rPr>
                <w:rFonts w:ascii="Times New Roman" w:hAnsi="Times New Roman" w:cs="Times New Roman"/>
              </w:rPr>
            </w:pPr>
          </w:p>
          <w:p w14:paraId="32CE047C" w14:textId="248EE536" w:rsidR="00AF6606" w:rsidRDefault="00AF6606" w:rsidP="00193384">
            <w:pPr>
              <w:pStyle w:val="Bezmezer"/>
              <w:jc w:val="both"/>
              <w:rPr>
                <w:rFonts w:ascii="Times New Roman" w:hAnsi="Times New Roman" w:cs="Times New Roman"/>
              </w:rPr>
            </w:pPr>
          </w:p>
          <w:p w14:paraId="18FC0C21" w14:textId="186A1AB8" w:rsidR="00AF6606" w:rsidRDefault="00AF6606" w:rsidP="00193384">
            <w:pPr>
              <w:pStyle w:val="Bezmezer"/>
              <w:jc w:val="both"/>
              <w:rPr>
                <w:rFonts w:ascii="Times New Roman" w:hAnsi="Times New Roman" w:cs="Times New Roman"/>
              </w:rPr>
            </w:pPr>
          </w:p>
          <w:p w14:paraId="398FB852" w14:textId="599EF376" w:rsidR="00AF6606" w:rsidRDefault="00AF6606" w:rsidP="00193384">
            <w:pPr>
              <w:pStyle w:val="Bezmezer"/>
              <w:jc w:val="both"/>
              <w:rPr>
                <w:rFonts w:ascii="Times New Roman" w:hAnsi="Times New Roman" w:cs="Times New Roman"/>
              </w:rPr>
            </w:pPr>
          </w:p>
          <w:p w14:paraId="41EECF42" w14:textId="0191E535" w:rsidR="00AF6606" w:rsidRDefault="00AF6606" w:rsidP="00193384">
            <w:pPr>
              <w:pStyle w:val="Bezmezer"/>
              <w:jc w:val="both"/>
              <w:rPr>
                <w:rFonts w:ascii="Times New Roman" w:hAnsi="Times New Roman" w:cs="Times New Roman"/>
              </w:rPr>
            </w:pPr>
          </w:p>
          <w:p w14:paraId="5512C7A4" w14:textId="4C81D0EB" w:rsidR="00AF6606" w:rsidRDefault="00AF6606" w:rsidP="00193384">
            <w:pPr>
              <w:pStyle w:val="Bezmezer"/>
              <w:jc w:val="both"/>
              <w:rPr>
                <w:rFonts w:ascii="Times New Roman" w:hAnsi="Times New Roman" w:cs="Times New Roman"/>
              </w:rPr>
            </w:pPr>
          </w:p>
          <w:p w14:paraId="2B38B3B8" w14:textId="39536659" w:rsidR="00AF6606" w:rsidRDefault="00AF6606" w:rsidP="00193384">
            <w:pPr>
              <w:pStyle w:val="Bezmezer"/>
              <w:jc w:val="both"/>
              <w:rPr>
                <w:rFonts w:ascii="Times New Roman" w:hAnsi="Times New Roman" w:cs="Times New Roman"/>
              </w:rPr>
            </w:pPr>
          </w:p>
          <w:p w14:paraId="4F8A2944" w14:textId="025DF3BE" w:rsidR="00AF6606" w:rsidRDefault="00AF6606" w:rsidP="00193384">
            <w:pPr>
              <w:pStyle w:val="Bezmezer"/>
              <w:jc w:val="both"/>
              <w:rPr>
                <w:rFonts w:ascii="Times New Roman" w:hAnsi="Times New Roman" w:cs="Times New Roman"/>
              </w:rPr>
            </w:pPr>
          </w:p>
          <w:p w14:paraId="695C71EC" w14:textId="1A8B69E5" w:rsidR="00AF6606" w:rsidRDefault="00AF6606" w:rsidP="00193384">
            <w:pPr>
              <w:pStyle w:val="Bezmezer"/>
              <w:jc w:val="both"/>
              <w:rPr>
                <w:rFonts w:ascii="Times New Roman" w:hAnsi="Times New Roman" w:cs="Times New Roman"/>
              </w:rPr>
            </w:pPr>
          </w:p>
          <w:p w14:paraId="716A23AC" w14:textId="0FE76124" w:rsidR="00AF6606" w:rsidRDefault="00AF6606" w:rsidP="00193384">
            <w:pPr>
              <w:pStyle w:val="Bezmezer"/>
              <w:jc w:val="both"/>
              <w:rPr>
                <w:rFonts w:ascii="Times New Roman" w:hAnsi="Times New Roman" w:cs="Times New Roman"/>
              </w:rPr>
            </w:pPr>
          </w:p>
          <w:p w14:paraId="3A866C08" w14:textId="51EB5376" w:rsidR="00AF6606" w:rsidRDefault="00AF6606" w:rsidP="00193384">
            <w:pPr>
              <w:pStyle w:val="Bezmezer"/>
              <w:jc w:val="both"/>
              <w:rPr>
                <w:rFonts w:ascii="Times New Roman" w:hAnsi="Times New Roman" w:cs="Times New Roman"/>
              </w:rPr>
            </w:pPr>
          </w:p>
          <w:p w14:paraId="4BEDA691" w14:textId="771BD433" w:rsidR="00AF6606" w:rsidRDefault="00AF6606" w:rsidP="00193384">
            <w:pPr>
              <w:pStyle w:val="Bezmezer"/>
              <w:jc w:val="both"/>
              <w:rPr>
                <w:rFonts w:ascii="Times New Roman" w:hAnsi="Times New Roman" w:cs="Times New Roman"/>
              </w:rPr>
            </w:pPr>
          </w:p>
          <w:p w14:paraId="01A8AC55" w14:textId="3EE7D979" w:rsidR="00AF6606" w:rsidRDefault="00AF6606" w:rsidP="00193384">
            <w:pPr>
              <w:pStyle w:val="Bezmezer"/>
              <w:jc w:val="both"/>
              <w:rPr>
                <w:rFonts w:ascii="Times New Roman" w:hAnsi="Times New Roman" w:cs="Times New Roman"/>
              </w:rPr>
            </w:pPr>
          </w:p>
          <w:p w14:paraId="5FA3E715" w14:textId="77777777" w:rsidR="00AF6606" w:rsidRDefault="00AF6606" w:rsidP="00193384">
            <w:pPr>
              <w:pStyle w:val="Bezmezer"/>
              <w:jc w:val="both"/>
              <w:rPr>
                <w:rFonts w:ascii="Times New Roman" w:hAnsi="Times New Roman" w:cs="Times New Roman"/>
              </w:rPr>
            </w:pPr>
            <w:r>
              <w:rPr>
                <w:rFonts w:ascii="Times New Roman" w:hAnsi="Times New Roman" w:cs="Times New Roman"/>
              </w:rPr>
              <w:t>Návrh cílí pouze na zvýšení procentní výměry, jen mechanismus jejího zvýšení je pro tentokrát modifikován.</w:t>
            </w:r>
          </w:p>
          <w:p w14:paraId="5F8ED152" w14:textId="6EA3ECF2" w:rsidR="00AF6606" w:rsidRDefault="00AF6606" w:rsidP="00193384">
            <w:pPr>
              <w:pStyle w:val="Bezmezer"/>
              <w:jc w:val="both"/>
              <w:rPr>
                <w:rFonts w:ascii="Times New Roman" w:hAnsi="Times New Roman" w:cs="Times New Roman"/>
              </w:rPr>
            </w:pPr>
            <w:r>
              <w:rPr>
                <w:rFonts w:ascii="Times New Roman" w:hAnsi="Times New Roman" w:cs="Times New Roman"/>
              </w:rPr>
              <w:lastRenderedPageBreak/>
              <w:t xml:space="preserve">Vzhledem ke kombinaci procentuálního a pevného zvýšení nelze hovořit o „plošném navýšení“. </w:t>
            </w:r>
          </w:p>
          <w:p w14:paraId="21C60597" w14:textId="68C23673" w:rsidR="002F7554" w:rsidRDefault="002F7554" w:rsidP="00193384">
            <w:pPr>
              <w:pStyle w:val="Bezmezer"/>
              <w:jc w:val="both"/>
              <w:rPr>
                <w:rFonts w:ascii="Times New Roman" w:hAnsi="Times New Roman" w:cs="Times New Roman"/>
              </w:rPr>
            </w:pPr>
            <w:r w:rsidRPr="002F7554">
              <w:rPr>
                <w:rFonts w:ascii="Times New Roman" w:hAnsi="Times New Roman" w:cs="Times New Roman"/>
              </w:rPr>
              <w:t xml:space="preserve">Z pohledu zásluhovosti je třeba upozornit na skutečnost, že při zvýšení důchodů v řádném termínu dochází pravidelně ke zvýšení o pevnou částku v kombinaci se zvýšením o procento, což ve většině situací vede k tomu, že se nižší důchody </w:t>
            </w:r>
            <w:proofErr w:type="gramStart"/>
            <w:r w:rsidRPr="002F7554">
              <w:rPr>
                <w:rFonts w:ascii="Times New Roman" w:hAnsi="Times New Roman" w:cs="Times New Roman"/>
              </w:rPr>
              <w:t>zvýší</w:t>
            </w:r>
            <w:proofErr w:type="gramEnd"/>
            <w:r w:rsidRPr="002F7554">
              <w:rPr>
                <w:rFonts w:ascii="Times New Roman" w:hAnsi="Times New Roman" w:cs="Times New Roman"/>
              </w:rPr>
              <w:t xml:space="preserve"> relativně více než důchody vyšší, přičemž toto obecné pravidlo nebylo v minulosti shledáno jako narušující vazbu na zásluhovost.</w:t>
            </w:r>
          </w:p>
          <w:p w14:paraId="55A90924" w14:textId="50D08D95" w:rsidR="00AE73D2" w:rsidRDefault="00AE73D2" w:rsidP="00193384">
            <w:pPr>
              <w:pStyle w:val="Bezmezer"/>
              <w:jc w:val="both"/>
              <w:rPr>
                <w:rFonts w:ascii="Times New Roman" w:hAnsi="Times New Roman" w:cs="Times New Roman"/>
              </w:rPr>
            </w:pPr>
          </w:p>
          <w:p w14:paraId="3974D17F" w14:textId="0A42CF5E" w:rsidR="00AE73D2" w:rsidRDefault="00AE73D2" w:rsidP="00193384">
            <w:pPr>
              <w:pStyle w:val="Bezmezer"/>
              <w:jc w:val="both"/>
              <w:rPr>
                <w:rFonts w:ascii="Times New Roman" w:hAnsi="Times New Roman" w:cs="Times New Roman"/>
              </w:rPr>
            </w:pPr>
            <w:r w:rsidRPr="009F650A">
              <w:rPr>
                <w:rFonts w:ascii="Times New Roman" w:hAnsi="Times New Roman" w:cs="Times New Roman"/>
              </w:rPr>
              <w:t>Důvodem maximálního zkrácení legislativního procesu je stihnout vydání nové úpravy do 50 dnů od konce ledna, tj. do 22.</w:t>
            </w:r>
            <w:r>
              <w:rPr>
                <w:rFonts w:ascii="Times New Roman" w:hAnsi="Times New Roman" w:cs="Times New Roman"/>
              </w:rPr>
              <w:t> </w:t>
            </w:r>
            <w:r w:rsidRPr="009F650A">
              <w:rPr>
                <w:rFonts w:ascii="Times New Roman" w:hAnsi="Times New Roman" w:cs="Times New Roman"/>
              </w:rPr>
              <w:t>3.</w:t>
            </w:r>
            <w:r>
              <w:rPr>
                <w:rFonts w:ascii="Times New Roman" w:hAnsi="Times New Roman" w:cs="Times New Roman"/>
              </w:rPr>
              <w:t> </w:t>
            </w:r>
            <w:r w:rsidRPr="009F650A">
              <w:rPr>
                <w:rFonts w:ascii="Times New Roman" w:hAnsi="Times New Roman" w:cs="Times New Roman"/>
              </w:rPr>
              <w:t>2023, aby nedošlo k vydání valorizačního nařízení vlády, které by posílilo legitimní očekávání veřejnosti ohledně zvýšení procentních výměr důchodů o plný růst cen. Důsledkem je mimo jiné i nemožnost projednání návrhu se sociálními partnery.</w:t>
            </w:r>
            <w:r w:rsidR="00327BEE">
              <w:rPr>
                <w:rFonts w:ascii="Times New Roman" w:hAnsi="Times New Roman" w:cs="Times New Roman"/>
              </w:rPr>
              <w:t xml:space="preserve"> Sociální partneři byli osloveni v rámci připomínkového řízení.</w:t>
            </w:r>
          </w:p>
          <w:p w14:paraId="67674444" w14:textId="2D9BC2F3" w:rsidR="00AF6606" w:rsidRPr="00193384" w:rsidRDefault="00AF6606" w:rsidP="00193384">
            <w:pPr>
              <w:pStyle w:val="Bezmezer"/>
              <w:jc w:val="both"/>
              <w:rPr>
                <w:rFonts w:ascii="Times New Roman" w:hAnsi="Times New Roman" w:cs="Times New Roman"/>
              </w:rPr>
            </w:pPr>
          </w:p>
        </w:tc>
      </w:tr>
      <w:tr w:rsidR="00164BE1" w:rsidRPr="00193384" w14:paraId="676C8F56"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64D323A" w14:textId="139F1F1A" w:rsidR="00164BE1" w:rsidRDefault="00BB0D7F" w:rsidP="00081217">
            <w:pPr>
              <w:pStyle w:val="Bezmezer"/>
              <w:rPr>
                <w:rFonts w:ascii="Times New Roman" w:hAnsi="Times New Roman" w:cs="Times New Roman"/>
                <w:b/>
                <w:bCs/>
              </w:rPr>
            </w:pPr>
            <w:r w:rsidRPr="00BB0D7F">
              <w:rPr>
                <w:rFonts w:ascii="Times New Roman" w:hAnsi="Times New Roman" w:cs="Times New Roman"/>
                <w:b/>
                <w:bCs/>
              </w:rPr>
              <w:lastRenderedPageBreak/>
              <w:t>Konfederace zaměstnavatelských a podnikatelských svazů ČR</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4A8CA45A" w14:textId="5C55EC52" w:rsidR="00164BE1" w:rsidRDefault="00BB0D7F" w:rsidP="00081217">
            <w:pPr>
              <w:pStyle w:val="Bezmezer"/>
              <w:rPr>
                <w:rFonts w:ascii="Times New Roman" w:hAnsi="Times New Roman" w:cs="Times New Roman"/>
              </w:rPr>
            </w:pPr>
            <w:r>
              <w:rPr>
                <w:rFonts w:ascii="Times New Roman" w:hAnsi="Times New Roman" w:cs="Times New Roman"/>
              </w:rPr>
              <w:t>K návrhu</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459656A8" w14:textId="77777777" w:rsidR="00555C34" w:rsidRPr="00555C34" w:rsidRDefault="00555C34" w:rsidP="00555C34">
            <w:pPr>
              <w:pStyle w:val="Bezmezer"/>
              <w:jc w:val="both"/>
              <w:rPr>
                <w:rFonts w:ascii="Times New Roman" w:hAnsi="Times New Roman" w:cs="Times New Roman"/>
              </w:rPr>
            </w:pPr>
            <w:r w:rsidRPr="00555C34">
              <w:rPr>
                <w:rFonts w:ascii="Times New Roman" w:hAnsi="Times New Roman" w:cs="Times New Roman"/>
              </w:rPr>
              <w:t>Navrhovaná změna zákona č. 155/1995 Sb., o důchodovém pojištění, má dle důvodové zprávy “reagovat na nečekaně rychlý cenový vývoj ve druhém pololetí roku 2022 a zejména v lednu 2023” s tím, že je nutné provést zákonné zvýšení v mimořádném termínu v červnu 2023, přičemž takové zvýšení dle předloženého materiálu “vyžaduje alokaci prostředků státního rozpočtu v rozsahu, který není v současné době možné saturovat”.</w:t>
            </w:r>
          </w:p>
          <w:p w14:paraId="33873AC2" w14:textId="77777777" w:rsidR="00555C34" w:rsidRPr="00555C34" w:rsidRDefault="00555C34" w:rsidP="00555C34">
            <w:pPr>
              <w:pStyle w:val="Bezmezer"/>
              <w:jc w:val="both"/>
              <w:rPr>
                <w:rFonts w:ascii="Times New Roman" w:hAnsi="Times New Roman" w:cs="Times New Roman"/>
              </w:rPr>
            </w:pPr>
          </w:p>
          <w:p w14:paraId="65E5E224" w14:textId="77777777" w:rsidR="00555C34" w:rsidRPr="00555C34" w:rsidRDefault="00555C34" w:rsidP="00555C34">
            <w:pPr>
              <w:pStyle w:val="Bezmezer"/>
              <w:jc w:val="both"/>
              <w:rPr>
                <w:rFonts w:ascii="Times New Roman" w:hAnsi="Times New Roman" w:cs="Times New Roman"/>
              </w:rPr>
            </w:pPr>
            <w:r w:rsidRPr="00555C34">
              <w:rPr>
                <w:rFonts w:ascii="Times New Roman" w:hAnsi="Times New Roman" w:cs="Times New Roman"/>
              </w:rPr>
              <w:t xml:space="preserve">Skutečnost, že nejsou prostředky na mimořádná zvýšení důchodů zapracovány do státního rozpočtu na rok 2023, považujeme za hrubou chybu. K vysokému růstu cen docházelo po celý loňský rok, ostatně to uvádí i sama citovaná důvodová zpráva a také dle </w:t>
            </w:r>
            <w:r w:rsidRPr="00555C34">
              <w:rPr>
                <w:rFonts w:ascii="Times New Roman" w:hAnsi="Times New Roman" w:cs="Times New Roman"/>
              </w:rPr>
              <w:lastRenderedPageBreak/>
              <w:t xml:space="preserve">oficiálních prognóz MF z druhé poloviny roku 2022 byla vysoka inflace očekávaná. Fakt, že již v této chvíli nastaly rozhodné skutečnosti, které zakládají povinnost vlády provést nařízením valorizaci, je logický – neodehrálo se žádné </w:t>
            </w:r>
            <w:proofErr w:type="gramStart"/>
            <w:r w:rsidRPr="00555C34">
              <w:rPr>
                <w:rFonts w:ascii="Times New Roman" w:hAnsi="Times New Roman" w:cs="Times New Roman"/>
              </w:rPr>
              <w:t>nečekané překvapení</w:t>
            </w:r>
            <w:proofErr w:type="gramEnd"/>
            <w:r w:rsidRPr="00555C34">
              <w:rPr>
                <w:rFonts w:ascii="Times New Roman" w:hAnsi="Times New Roman" w:cs="Times New Roman"/>
              </w:rPr>
              <w:t>.</w:t>
            </w:r>
          </w:p>
          <w:p w14:paraId="3F216BB9" w14:textId="77777777" w:rsidR="00555C34" w:rsidRPr="00555C34" w:rsidRDefault="00555C34" w:rsidP="00555C34">
            <w:pPr>
              <w:pStyle w:val="Bezmezer"/>
              <w:jc w:val="both"/>
              <w:rPr>
                <w:rFonts w:ascii="Times New Roman" w:hAnsi="Times New Roman" w:cs="Times New Roman"/>
              </w:rPr>
            </w:pPr>
          </w:p>
          <w:p w14:paraId="05C0AFE9" w14:textId="77777777" w:rsidR="00EF17B9" w:rsidRDefault="00EF17B9" w:rsidP="00555C34">
            <w:pPr>
              <w:pStyle w:val="Bezmezer"/>
              <w:jc w:val="both"/>
              <w:rPr>
                <w:rFonts w:ascii="Times New Roman" w:hAnsi="Times New Roman" w:cs="Times New Roman"/>
              </w:rPr>
            </w:pPr>
          </w:p>
          <w:p w14:paraId="646DB700" w14:textId="77777777" w:rsidR="00EF17B9" w:rsidRDefault="00EF17B9" w:rsidP="00555C34">
            <w:pPr>
              <w:pStyle w:val="Bezmezer"/>
              <w:jc w:val="both"/>
              <w:rPr>
                <w:rFonts w:ascii="Times New Roman" w:hAnsi="Times New Roman" w:cs="Times New Roman"/>
              </w:rPr>
            </w:pPr>
          </w:p>
          <w:p w14:paraId="3BB7BD7C" w14:textId="77777777" w:rsidR="00EF17B9" w:rsidRDefault="00EF17B9" w:rsidP="00555C34">
            <w:pPr>
              <w:pStyle w:val="Bezmezer"/>
              <w:jc w:val="both"/>
              <w:rPr>
                <w:rFonts w:ascii="Times New Roman" w:hAnsi="Times New Roman" w:cs="Times New Roman"/>
              </w:rPr>
            </w:pPr>
          </w:p>
          <w:p w14:paraId="2995555A" w14:textId="77777777" w:rsidR="00EF17B9" w:rsidRDefault="00EF17B9" w:rsidP="00555C34">
            <w:pPr>
              <w:pStyle w:val="Bezmezer"/>
              <w:jc w:val="both"/>
              <w:rPr>
                <w:rFonts w:ascii="Times New Roman" w:hAnsi="Times New Roman" w:cs="Times New Roman"/>
              </w:rPr>
            </w:pPr>
          </w:p>
          <w:p w14:paraId="28195243" w14:textId="77777777" w:rsidR="00EF17B9" w:rsidRDefault="00EF17B9" w:rsidP="00555C34">
            <w:pPr>
              <w:pStyle w:val="Bezmezer"/>
              <w:jc w:val="both"/>
              <w:rPr>
                <w:rFonts w:ascii="Times New Roman" w:hAnsi="Times New Roman" w:cs="Times New Roman"/>
              </w:rPr>
            </w:pPr>
          </w:p>
          <w:p w14:paraId="2FD6985B" w14:textId="77777777" w:rsidR="00EF17B9" w:rsidRDefault="00EF17B9" w:rsidP="00555C34">
            <w:pPr>
              <w:pStyle w:val="Bezmezer"/>
              <w:jc w:val="both"/>
              <w:rPr>
                <w:rFonts w:ascii="Times New Roman" w:hAnsi="Times New Roman" w:cs="Times New Roman"/>
              </w:rPr>
            </w:pPr>
          </w:p>
          <w:p w14:paraId="002E8096" w14:textId="6E7594B3" w:rsidR="00555C34" w:rsidRPr="00555C34" w:rsidRDefault="00555C34" w:rsidP="00555C34">
            <w:pPr>
              <w:pStyle w:val="Bezmezer"/>
              <w:jc w:val="both"/>
              <w:rPr>
                <w:rFonts w:ascii="Times New Roman" w:hAnsi="Times New Roman" w:cs="Times New Roman"/>
              </w:rPr>
            </w:pPr>
            <w:r w:rsidRPr="00555C34">
              <w:rPr>
                <w:rFonts w:ascii="Times New Roman" w:hAnsi="Times New Roman" w:cs="Times New Roman"/>
              </w:rPr>
              <w:t xml:space="preserve">Pravidla nelze měnit zpětně podle toho, jak se zrovna hodí nebo nehodí. Navržená změna zákona </w:t>
            </w:r>
            <w:r w:rsidRPr="00555C34">
              <w:rPr>
                <w:rFonts w:ascii="Times New Roman" w:hAnsi="Times New Roman" w:cs="Times New Roman"/>
                <w:b/>
                <w:bCs/>
              </w:rPr>
              <w:t>není v souladu s Ústavním pořádkem a s principy důchodového pojištění</w:t>
            </w:r>
            <w:r w:rsidRPr="00555C34">
              <w:rPr>
                <w:rFonts w:ascii="Times New Roman" w:hAnsi="Times New Roman" w:cs="Times New Roman"/>
              </w:rPr>
              <w:t xml:space="preserve"> ČR. Zásadním způsobem se narušuje míra zásluhovosti, a to ve prospěch nízkých důchodů. Které tak nezaznamenají prakticky žádnou ztrátu – čím je důchod vyšší, tím procento valorizace klesá (u průměrného důchodu se jedná o ztrátu </w:t>
            </w:r>
            <w:proofErr w:type="gramStart"/>
            <w:r w:rsidRPr="00555C34">
              <w:rPr>
                <w:rFonts w:ascii="Times New Roman" w:hAnsi="Times New Roman" w:cs="Times New Roman"/>
              </w:rPr>
              <w:t>1.000,-</w:t>
            </w:r>
            <w:proofErr w:type="gramEnd"/>
            <w:r w:rsidRPr="00555C34">
              <w:rPr>
                <w:rFonts w:ascii="Times New Roman" w:hAnsi="Times New Roman" w:cs="Times New Roman"/>
              </w:rPr>
              <w:t xml:space="preserve"> Kč měsíčně, u důchodů vyšších až 2000 Kč měsíčně). Doufáme, že to není předzvěst toho, jakým směrem se ubírá avizovaná reforma důchodového systému.</w:t>
            </w:r>
          </w:p>
          <w:p w14:paraId="1307AEF2" w14:textId="77777777" w:rsidR="00555C34" w:rsidRPr="00555C34" w:rsidRDefault="00555C34" w:rsidP="00555C34">
            <w:pPr>
              <w:pStyle w:val="Bezmezer"/>
              <w:jc w:val="both"/>
              <w:rPr>
                <w:rFonts w:ascii="Times New Roman" w:hAnsi="Times New Roman" w:cs="Times New Roman"/>
              </w:rPr>
            </w:pPr>
          </w:p>
          <w:p w14:paraId="4C37E375" w14:textId="77777777" w:rsidR="00BE7756" w:rsidRDefault="00BE7756" w:rsidP="00555C34">
            <w:pPr>
              <w:pStyle w:val="Bezmezer"/>
              <w:jc w:val="both"/>
              <w:rPr>
                <w:rFonts w:ascii="Times New Roman" w:hAnsi="Times New Roman" w:cs="Times New Roman"/>
              </w:rPr>
            </w:pPr>
          </w:p>
          <w:p w14:paraId="6D590B76" w14:textId="77777777" w:rsidR="00BE7756" w:rsidRDefault="00BE7756" w:rsidP="00555C34">
            <w:pPr>
              <w:pStyle w:val="Bezmezer"/>
              <w:jc w:val="both"/>
              <w:rPr>
                <w:rFonts w:ascii="Times New Roman" w:hAnsi="Times New Roman" w:cs="Times New Roman"/>
              </w:rPr>
            </w:pPr>
          </w:p>
          <w:p w14:paraId="4C18C9AC" w14:textId="77777777" w:rsidR="00BE7756" w:rsidRDefault="00BE7756" w:rsidP="00555C34">
            <w:pPr>
              <w:pStyle w:val="Bezmezer"/>
              <w:jc w:val="both"/>
              <w:rPr>
                <w:rFonts w:ascii="Times New Roman" w:hAnsi="Times New Roman" w:cs="Times New Roman"/>
              </w:rPr>
            </w:pPr>
          </w:p>
          <w:p w14:paraId="28CF3316" w14:textId="6DFDB521" w:rsidR="00555C34" w:rsidRPr="00555C34" w:rsidRDefault="00555C34" w:rsidP="00555C34">
            <w:pPr>
              <w:pStyle w:val="Bezmezer"/>
              <w:jc w:val="both"/>
              <w:rPr>
                <w:rFonts w:ascii="Times New Roman" w:hAnsi="Times New Roman" w:cs="Times New Roman"/>
              </w:rPr>
            </w:pPr>
            <w:r w:rsidRPr="00555C34">
              <w:rPr>
                <w:rFonts w:ascii="Times New Roman" w:hAnsi="Times New Roman" w:cs="Times New Roman"/>
              </w:rPr>
              <w:t xml:space="preserve">Zákonem stanovený způsob valorizace je třeba dodržet, nikoli změnit retroaktivně parametry tak, aby výsledek výpočtu procenta valorizace byl razantně nižší (2,3 % </w:t>
            </w:r>
            <w:proofErr w:type="gramStart"/>
            <w:r w:rsidRPr="00555C34">
              <w:rPr>
                <w:rFonts w:ascii="Times New Roman" w:hAnsi="Times New Roman" w:cs="Times New Roman"/>
              </w:rPr>
              <w:t>namísto  11</w:t>
            </w:r>
            <w:proofErr w:type="gramEnd"/>
            <w:r w:rsidRPr="00555C34">
              <w:rPr>
                <w:rFonts w:ascii="Times New Roman" w:hAnsi="Times New Roman" w:cs="Times New Roman"/>
              </w:rPr>
              <w:t>,5 %).</w:t>
            </w:r>
          </w:p>
          <w:p w14:paraId="2FE7AB8A" w14:textId="77777777" w:rsidR="00555C34" w:rsidRPr="00555C34" w:rsidRDefault="00555C34" w:rsidP="00555C34">
            <w:pPr>
              <w:pStyle w:val="Bezmezer"/>
              <w:jc w:val="both"/>
              <w:rPr>
                <w:rFonts w:ascii="Times New Roman" w:hAnsi="Times New Roman" w:cs="Times New Roman"/>
              </w:rPr>
            </w:pPr>
          </w:p>
          <w:p w14:paraId="049C48E1" w14:textId="77777777" w:rsidR="00BE7756" w:rsidRDefault="00BE7756" w:rsidP="00555C34">
            <w:pPr>
              <w:pStyle w:val="Bezmezer"/>
              <w:jc w:val="both"/>
              <w:rPr>
                <w:rFonts w:ascii="Times New Roman" w:hAnsi="Times New Roman" w:cs="Times New Roman"/>
              </w:rPr>
            </w:pPr>
          </w:p>
          <w:p w14:paraId="17966C4F" w14:textId="77777777" w:rsidR="00BE7756" w:rsidRDefault="00BE7756" w:rsidP="00555C34">
            <w:pPr>
              <w:pStyle w:val="Bezmezer"/>
              <w:jc w:val="both"/>
              <w:rPr>
                <w:rFonts w:ascii="Times New Roman" w:hAnsi="Times New Roman" w:cs="Times New Roman"/>
              </w:rPr>
            </w:pPr>
          </w:p>
          <w:p w14:paraId="5A8C1249" w14:textId="77777777" w:rsidR="002F7554" w:rsidRDefault="002F7554" w:rsidP="00555C34">
            <w:pPr>
              <w:pStyle w:val="Bezmezer"/>
              <w:jc w:val="both"/>
              <w:rPr>
                <w:rFonts w:ascii="Times New Roman" w:hAnsi="Times New Roman" w:cs="Times New Roman"/>
              </w:rPr>
            </w:pPr>
          </w:p>
          <w:p w14:paraId="65ACA34C" w14:textId="766D4F67" w:rsidR="00555C34" w:rsidRPr="00555C34" w:rsidRDefault="00555C34" w:rsidP="00555C34">
            <w:pPr>
              <w:pStyle w:val="Bezmezer"/>
              <w:jc w:val="both"/>
              <w:rPr>
                <w:rFonts w:ascii="Times New Roman" w:hAnsi="Times New Roman" w:cs="Times New Roman"/>
              </w:rPr>
            </w:pPr>
            <w:r w:rsidRPr="00555C34">
              <w:rPr>
                <w:rFonts w:ascii="Times New Roman" w:hAnsi="Times New Roman" w:cs="Times New Roman"/>
              </w:rPr>
              <w:t xml:space="preserve">V této souvislosti zároveň požadujeme, aby v rámci komplexního řešení problematiky důchodů, které se v brzké době očekávají, byly </w:t>
            </w:r>
            <w:r w:rsidRPr="00555C34">
              <w:rPr>
                <w:rFonts w:ascii="Times New Roman" w:hAnsi="Times New Roman" w:cs="Times New Roman"/>
              </w:rPr>
              <w:lastRenderedPageBreak/>
              <w:t>respektovány role jednotlivých systémů sociálního zabezpečení a specifických dávek, tj. důchodů, dávek státní sociální podpory a hmotné nouze. Tak, aby nebyly demotivující pro občany k výkonu práce v pracovním poměru a nevedly je k přechodu do statusu OSVČ, či dokonce k výkonu nepojistných zaměstnání.</w:t>
            </w:r>
          </w:p>
          <w:p w14:paraId="2B019678" w14:textId="77777777" w:rsidR="00555C34" w:rsidRPr="00555C34" w:rsidRDefault="00555C34" w:rsidP="00555C34">
            <w:pPr>
              <w:pStyle w:val="Bezmezer"/>
              <w:jc w:val="both"/>
              <w:rPr>
                <w:rFonts w:ascii="Times New Roman" w:hAnsi="Times New Roman" w:cs="Times New Roman"/>
              </w:rPr>
            </w:pPr>
          </w:p>
          <w:p w14:paraId="76F636BB" w14:textId="77777777" w:rsidR="00555C34" w:rsidRPr="00555C34" w:rsidRDefault="00555C34" w:rsidP="00555C34">
            <w:pPr>
              <w:pStyle w:val="Bezmezer"/>
              <w:jc w:val="both"/>
              <w:rPr>
                <w:rFonts w:ascii="Times New Roman" w:hAnsi="Times New Roman" w:cs="Times New Roman"/>
              </w:rPr>
            </w:pPr>
            <w:r w:rsidRPr="00555C34">
              <w:rPr>
                <w:rFonts w:ascii="Times New Roman" w:hAnsi="Times New Roman" w:cs="Times New Roman"/>
              </w:rPr>
              <w:t>Připomínku máme také k tomu, jakým způsobem nám byl návrh předložen, konkrétně se lhůtou 1 (jeden) den k zaujetí a zpracování stanoviska, bez standardního připomínkového řízení a posouzení Legislativní radou vlády. Akceptovat to lze opravdu jen v mimořádných případech (jako byla v nedávné době epidemiologická opatření). Nikoli u samoúčelně prováděných změn, které se navíc zásadně dotýkají sociálních práv občanů.</w:t>
            </w:r>
          </w:p>
          <w:p w14:paraId="5E9EAC87" w14:textId="77777777" w:rsidR="00555C34" w:rsidRPr="00555C34" w:rsidRDefault="00555C34" w:rsidP="00555C34">
            <w:pPr>
              <w:pStyle w:val="Bezmezer"/>
              <w:jc w:val="both"/>
              <w:rPr>
                <w:rFonts w:ascii="Times New Roman" w:hAnsi="Times New Roman" w:cs="Times New Roman"/>
              </w:rPr>
            </w:pPr>
          </w:p>
          <w:p w14:paraId="084D95FB" w14:textId="77777777" w:rsidR="00555C34" w:rsidRPr="00555C34" w:rsidRDefault="00555C34" w:rsidP="00555C34">
            <w:pPr>
              <w:pStyle w:val="Bezmezer"/>
              <w:jc w:val="both"/>
              <w:rPr>
                <w:rFonts w:ascii="Times New Roman" w:hAnsi="Times New Roman" w:cs="Times New Roman"/>
              </w:rPr>
            </w:pPr>
            <w:r w:rsidRPr="00555C34">
              <w:rPr>
                <w:rFonts w:ascii="Times New Roman" w:hAnsi="Times New Roman" w:cs="Times New Roman"/>
              </w:rPr>
              <w:t>Odkazujeme také na argumenty uvedené ve stanovisku SPČR, se kterým jsme v souladu – je nadbytečné je zde opakovat.</w:t>
            </w:r>
          </w:p>
          <w:p w14:paraId="237F76FB" w14:textId="77777777" w:rsidR="00555C34" w:rsidRPr="00555C34" w:rsidRDefault="00555C34" w:rsidP="00555C34">
            <w:pPr>
              <w:pStyle w:val="Bezmezer"/>
              <w:jc w:val="both"/>
              <w:rPr>
                <w:rFonts w:ascii="Times New Roman" w:hAnsi="Times New Roman" w:cs="Times New Roman"/>
              </w:rPr>
            </w:pPr>
            <w:r w:rsidRPr="00555C34">
              <w:rPr>
                <w:rFonts w:ascii="Times New Roman" w:hAnsi="Times New Roman" w:cs="Times New Roman"/>
              </w:rPr>
              <w:t xml:space="preserve"> </w:t>
            </w:r>
          </w:p>
          <w:p w14:paraId="6C0448E2" w14:textId="7F68453A" w:rsidR="00555C34" w:rsidRPr="00555C34" w:rsidRDefault="00555C34" w:rsidP="00555C34">
            <w:pPr>
              <w:pStyle w:val="Bezmezer"/>
              <w:jc w:val="both"/>
              <w:rPr>
                <w:rFonts w:ascii="Times New Roman" w:hAnsi="Times New Roman" w:cs="Times New Roman"/>
                <w:u w:val="single"/>
              </w:rPr>
            </w:pPr>
            <w:r w:rsidRPr="00555C34">
              <w:rPr>
                <w:rFonts w:ascii="Times New Roman" w:hAnsi="Times New Roman" w:cs="Times New Roman"/>
                <w:u w:val="single"/>
              </w:rPr>
              <w:t>S uvedenou novelizací zákona č. 155/1995 Sb</w:t>
            </w:r>
            <w:r w:rsidR="002F7554">
              <w:rPr>
                <w:rFonts w:ascii="Times New Roman" w:hAnsi="Times New Roman" w:cs="Times New Roman"/>
                <w:u w:val="single"/>
              </w:rPr>
              <w:t>.</w:t>
            </w:r>
            <w:r w:rsidRPr="00555C34">
              <w:rPr>
                <w:rFonts w:ascii="Times New Roman" w:hAnsi="Times New Roman" w:cs="Times New Roman"/>
                <w:u w:val="single"/>
              </w:rPr>
              <w:t xml:space="preserve"> nesouhlasíme.</w:t>
            </w:r>
          </w:p>
          <w:p w14:paraId="372C4C1C" w14:textId="77777777" w:rsidR="003F6063" w:rsidRPr="003F6063" w:rsidRDefault="003F6063" w:rsidP="003F6063">
            <w:pPr>
              <w:pStyle w:val="Bezmezer"/>
              <w:jc w:val="both"/>
              <w:rPr>
                <w:rFonts w:ascii="Times New Roman" w:hAnsi="Times New Roman" w:cs="Times New Roman"/>
              </w:rPr>
            </w:pPr>
          </w:p>
          <w:p w14:paraId="1089DCE7" w14:textId="72F851C1" w:rsidR="00164BE1" w:rsidRPr="003F6063" w:rsidRDefault="003F6063" w:rsidP="002535F2">
            <w:pPr>
              <w:pStyle w:val="Bezmezer"/>
              <w:jc w:val="both"/>
              <w:rPr>
                <w:rFonts w:ascii="Times New Roman" w:hAnsi="Times New Roman" w:cs="Times New Roman"/>
              </w:rPr>
            </w:pPr>
            <w:r w:rsidRPr="002535F2">
              <w:rPr>
                <w:rFonts w:ascii="Times New Roman" w:hAnsi="Times New Roman" w:cs="Times New Roman"/>
                <w:b/>
                <w:bCs/>
                <w:u w:val="single"/>
              </w:rPr>
              <w:t>Zásadní připomínka</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52C57463" w14:textId="77777777" w:rsidR="00164BE1" w:rsidRPr="00BA5B2D" w:rsidRDefault="00BE7756" w:rsidP="00193384">
            <w:pPr>
              <w:pStyle w:val="Bezmezer"/>
              <w:jc w:val="both"/>
              <w:rPr>
                <w:rFonts w:ascii="Times New Roman" w:hAnsi="Times New Roman" w:cs="Times New Roman"/>
                <w:b/>
                <w:bCs/>
              </w:rPr>
            </w:pPr>
            <w:r w:rsidRPr="00BA5B2D">
              <w:rPr>
                <w:rFonts w:ascii="Times New Roman" w:hAnsi="Times New Roman" w:cs="Times New Roman"/>
                <w:b/>
                <w:bCs/>
              </w:rPr>
              <w:lastRenderedPageBreak/>
              <w:t>Neakceptováno.</w:t>
            </w:r>
          </w:p>
          <w:p w14:paraId="5A9D8C9A" w14:textId="160FE83B" w:rsidR="00BE7756" w:rsidRPr="00BA5B2D" w:rsidRDefault="00BE7756" w:rsidP="00193384">
            <w:pPr>
              <w:pStyle w:val="Bezmezer"/>
              <w:jc w:val="both"/>
              <w:rPr>
                <w:rFonts w:ascii="Times New Roman" w:hAnsi="Times New Roman" w:cs="Times New Roman"/>
              </w:rPr>
            </w:pPr>
            <w:r w:rsidRPr="00BA5B2D">
              <w:rPr>
                <w:rFonts w:ascii="Times New Roman" w:hAnsi="Times New Roman" w:cs="Times New Roman"/>
              </w:rPr>
              <w:t xml:space="preserve">Při přípravě rozpočtu na rok 2023 nebylo možno </w:t>
            </w:r>
            <w:r w:rsidR="00AD46C9" w:rsidRPr="00BA5B2D">
              <w:rPr>
                <w:rFonts w:ascii="Times New Roman" w:hAnsi="Times New Roman" w:cs="Times New Roman"/>
              </w:rPr>
              <w:t>přesně stanovit</w:t>
            </w:r>
            <w:r w:rsidRPr="00BA5B2D">
              <w:rPr>
                <w:rFonts w:ascii="Times New Roman" w:hAnsi="Times New Roman" w:cs="Times New Roman"/>
              </w:rPr>
              <w:t xml:space="preserve">, </w:t>
            </w:r>
            <w:r w:rsidR="00BA5B2D">
              <w:rPr>
                <w:rFonts w:ascii="Times New Roman" w:hAnsi="Times New Roman" w:cs="Times New Roman"/>
              </w:rPr>
              <w:t xml:space="preserve">zda a </w:t>
            </w:r>
            <w:r w:rsidR="00AD46C9" w:rsidRPr="00BA5B2D">
              <w:rPr>
                <w:rFonts w:ascii="Times New Roman" w:hAnsi="Times New Roman" w:cs="Times New Roman"/>
              </w:rPr>
              <w:t>kdy</w:t>
            </w:r>
            <w:r w:rsidRPr="00BA5B2D">
              <w:rPr>
                <w:rFonts w:ascii="Times New Roman" w:hAnsi="Times New Roman" w:cs="Times New Roman"/>
              </w:rPr>
              <w:t xml:space="preserve"> </w:t>
            </w:r>
            <w:r w:rsidR="00AD46C9" w:rsidRPr="00BA5B2D">
              <w:rPr>
                <w:rFonts w:ascii="Times New Roman" w:hAnsi="Times New Roman" w:cs="Times New Roman"/>
              </w:rPr>
              <w:t xml:space="preserve">bude </w:t>
            </w:r>
            <w:r w:rsidRPr="00BA5B2D">
              <w:rPr>
                <w:rFonts w:ascii="Times New Roman" w:hAnsi="Times New Roman" w:cs="Times New Roman"/>
              </w:rPr>
              <w:t>podmínk</w:t>
            </w:r>
            <w:r w:rsidR="00AD46C9" w:rsidRPr="00BA5B2D">
              <w:rPr>
                <w:rFonts w:ascii="Times New Roman" w:hAnsi="Times New Roman" w:cs="Times New Roman"/>
              </w:rPr>
              <w:t>a</w:t>
            </w:r>
            <w:r w:rsidRPr="00BA5B2D">
              <w:rPr>
                <w:rFonts w:ascii="Times New Roman" w:hAnsi="Times New Roman" w:cs="Times New Roman"/>
              </w:rPr>
              <w:t xml:space="preserve"> pro </w:t>
            </w:r>
            <w:r w:rsidR="00AD46C9" w:rsidRPr="00BA5B2D">
              <w:rPr>
                <w:rFonts w:ascii="Times New Roman" w:hAnsi="Times New Roman" w:cs="Times New Roman"/>
              </w:rPr>
              <w:t>zvýšení v </w:t>
            </w:r>
            <w:r w:rsidRPr="00BA5B2D">
              <w:rPr>
                <w:rFonts w:ascii="Times New Roman" w:hAnsi="Times New Roman" w:cs="Times New Roman"/>
              </w:rPr>
              <w:t>mimořádn</w:t>
            </w:r>
            <w:r w:rsidR="00AD46C9" w:rsidRPr="00BA5B2D">
              <w:rPr>
                <w:rFonts w:ascii="Times New Roman" w:hAnsi="Times New Roman" w:cs="Times New Roman"/>
              </w:rPr>
              <w:t>ém termínu</w:t>
            </w:r>
            <w:r w:rsidRPr="00BA5B2D">
              <w:rPr>
                <w:rFonts w:ascii="Times New Roman" w:hAnsi="Times New Roman" w:cs="Times New Roman"/>
              </w:rPr>
              <w:t xml:space="preserve"> splněn</w:t>
            </w:r>
            <w:r w:rsidR="00AD46C9" w:rsidRPr="00BA5B2D">
              <w:rPr>
                <w:rFonts w:ascii="Times New Roman" w:hAnsi="Times New Roman" w:cs="Times New Roman"/>
              </w:rPr>
              <w:t>a</w:t>
            </w:r>
            <w:r w:rsidRPr="00BA5B2D">
              <w:rPr>
                <w:rFonts w:ascii="Times New Roman" w:hAnsi="Times New Roman" w:cs="Times New Roman"/>
              </w:rPr>
              <w:t xml:space="preserve"> a jak vysoký bude </w:t>
            </w:r>
            <w:r w:rsidR="00AD46C9" w:rsidRPr="00BA5B2D">
              <w:rPr>
                <w:rFonts w:ascii="Times New Roman" w:hAnsi="Times New Roman" w:cs="Times New Roman"/>
              </w:rPr>
              <w:t xml:space="preserve">příslušný </w:t>
            </w:r>
            <w:r w:rsidRPr="00BA5B2D">
              <w:rPr>
                <w:rFonts w:ascii="Times New Roman" w:hAnsi="Times New Roman" w:cs="Times New Roman"/>
              </w:rPr>
              <w:t xml:space="preserve">růst cen. </w:t>
            </w:r>
            <w:r w:rsidR="00AD46C9" w:rsidRPr="00BA5B2D">
              <w:rPr>
                <w:rFonts w:ascii="Times New Roman" w:hAnsi="Times New Roman" w:cs="Times New Roman"/>
              </w:rPr>
              <w:t>Jak ukazuje předložený návrh</w:t>
            </w:r>
            <w:r w:rsidR="00BA5B2D">
              <w:rPr>
                <w:rFonts w:ascii="Times New Roman" w:hAnsi="Times New Roman" w:cs="Times New Roman"/>
              </w:rPr>
              <w:t>,</w:t>
            </w:r>
            <w:r w:rsidR="00AD46C9" w:rsidRPr="00BA5B2D">
              <w:rPr>
                <w:rFonts w:ascii="Times New Roman" w:hAnsi="Times New Roman" w:cs="Times New Roman"/>
              </w:rPr>
              <w:t xml:space="preserve"> státní rozpočet s určitými prostředky na zvýšení důchodů v mimořádném termínu počítá. Růst cen u domácností důchodců pro stanovení zvýšení důchodů byl do konce roku výrazně pod 3 procenty</w:t>
            </w:r>
            <w:r w:rsidR="00FD062A" w:rsidRPr="00BA5B2D">
              <w:rPr>
                <w:rFonts w:ascii="Times New Roman" w:hAnsi="Times New Roman" w:cs="Times New Roman"/>
              </w:rPr>
              <w:t>, což stále indikovalo, že prostředky připravené na pokrytí výdajů na zvýšení v mimořádném termínu by měly být dostačující.</w:t>
            </w:r>
            <w:r w:rsidR="00AD46C9" w:rsidRPr="00BA5B2D">
              <w:rPr>
                <w:rFonts w:ascii="Times New Roman" w:hAnsi="Times New Roman" w:cs="Times New Roman"/>
              </w:rPr>
              <w:t xml:space="preserve"> Nicméně skutečně dosažená </w:t>
            </w:r>
            <w:r w:rsidR="00AD46C9" w:rsidRPr="00BA5B2D">
              <w:rPr>
                <w:rFonts w:ascii="Times New Roman" w:hAnsi="Times New Roman" w:cs="Times New Roman"/>
              </w:rPr>
              <w:lastRenderedPageBreak/>
              <w:t>dynamika cen mezi prosincem 2022 a lednem 2023, kter</w:t>
            </w:r>
            <w:r w:rsidR="00FD062A" w:rsidRPr="00BA5B2D">
              <w:rPr>
                <w:rFonts w:ascii="Times New Roman" w:hAnsi="Times New Roman" w:cs="Times New Roman"/>
              </w:rPr>
              <w:t>á</w:t>
            </w:r>
            <w:r w:rsidR="00AD46C9" w:rsidRPr="00BA5B2D">
              <w:rPr>
                <w:rFonts w:ascii="Times New Roman" w:hAnsi="Times New Roman" w:cs="Times New Roman"/>
              </w:rPr>
              <w:t xml:space="preserve"> u domácností důchodců pouze za tento jeden měsíc dosáhl</w:t>
            </w:r>
            <w:r w:rsidR="00FD062A" w:rsidRPr="00BA5B2D">
              <w:rPr>
                <w:rFonts w:ascii="Times New Roman" w:hAnsi="Times New Roman" w:cs="Times New Roman"/>
              </w:rPr>
              <w:t>a</w:t>
            </w:r>
            <w:r w:rsidR="00AD46C9" w:rsidRPr="00BA5B2D">
              <w:rPr>
                <w:rFonts w:ascii="Times New Roman" w:hAnsi="Times New Roman" w:cs="Times New Roman"/>
              </w:rPr>
              <w:t xml:space="preserve"> 8,6 %</w:t>
            </w:r>
            <w:r w:rsidR="00BA5B2D">
              <w:rPr>
                <w:rFonts w:ascii="Times New Roman" w:hAnsi="Times New Roman" w:cs="Times New Roman"/>
              </w:rPr>
              <w:t>,</w:t>
            </w:r>
            <w:r w:rsidR="00AD46C9" w:rsidRPr="00BA5B2D">
              <w:rPr>
                <w:rFonts w:ascii="Times New Roman" w:hAnsi="Times New Roman" w:cs="Times New Roman"/>
              </w:rPr>
              <w:t xml:space="preserve"> </w:t>
            </w:r>
            <w:r w:rsidR="00FD062A" w:rsidRPr="00BA5B2D">
              <w:rPr>
                <w:rFonts w:ascii="Times New Roman" w:hAnsi="Times New Roman" w:cs="Times New Roman"/>
              </w:rPr>
              <w:t xml:space="preserve">byla </w:t>
            </w:r>
            <w:r w:rsidR="00AD46C9" w:rsidRPr="00BA5B2D">
              <w:rPr>
                <w:rFonts w:ascii="Times New Roman" w:hAnsi="Times New Roman" w:cs="Times New Roman"/>
              </w:rPr>
              <w:t xml:space="preserve">výrazně </w:t>
            </w:r>
            <w:r w:rsidR="00FD062A" w:rsidRPr="00BA5B2D">
              <w:rPr>
                <w:rFonts w:ascii="Times New Roman" w:hAnsi="Times New Roman" w:cs="Times New Roman"/>
              </w:rPr>
              <w:t>nad očekáváním a znamenala, že náklady na zvýšení v mimořádném termínu by byly více jak dvojnásobné proti prostředkům, se kterými počítal státní rozpočet.</w:t>
            </w:r>
            <w:r w:rsidR="00BA5B2D" w:rsidRPr="00BA5B2D">
              <w:rPr>
                <w:rFonts w:ascii="Times New Roman" w:hAnsi="Times New Roman" w:cs="Times New Roman"/>
              </w:rPr>
              <w:t xml:space="preserve"> </w:t>
            </w:r>
            <w:r w:rsidR="00FD062A" w:rsidRPr="00BA5B2D">
              <w:rPr>
                <w:rFonts w:ascii="Times New Roman" w:hAnsi="Times New Roman" w:cs="Times New Roman"/>
              </w:rPr>
              <w:t>Není tedy pravdou, že by státní rozpočet se zvýšením důchodů v mimořádném termínu nepočítal, avšak skutečná dynamika cen výrazně překročila očekávání.</w:t>
            </w:r>
          </w:p>
          <w:p w14:paraId="66D9A2FF" w14:textId="77777777" w:rsidR="00BE7756" w:rsidRPr="00BA5B2D" w:rsidRDefault="00BE7756" w:rsidP="00193384">
            <w:pPr>
              <w:pStyle w:val="Bezmezer"/>
              <w:jc w:val="both"/>
              <w:rPr>
                <w:rFonts w:ascii="Times New Roman" w:hAnsi="Times New Roman" w:cs="Times New Roman"/>
                <w:i/>
                <w:iCs/>
                <w:color w:val="FF0000"/>
              </w:rPr>
            </w:pPr>
          </w:p>
          <w:p w14:paraId="6B0558B6" w14:textId="77777777" w:rsidR="00BE7756" w:rsidRPr="00BA5B2D" w:rsidRDefault="00BE7756" w:rsidP="00193384">
            <w:pPr>
              <w:pStyle w:val="Bezmezer"/>
              <w:jc w:val="both"/>
              <w:rPr>
                <w:rFonts w:ascii="Times New Roman" w:hAnsi="Times New Roman" w:cs="Times New Roman"/>
                <w:bCs/>
                <w:szCs w:val="24"/>
              </w:rPr>
            </w:pPr>
            <w:r w:rsidRPr="00BA5B2D">
              <w:rPr>
                <w:rFonts w:ascii="Times New Roman" w:hAnsi="Times New Roman" w:cs="Times New Roman"/>
              </w:rPr>
              <w:t xml:space="preserve">Předkladatel vychází z názoru, že </w:t>
            </w:r>
            <w:r w:rsidRPr="00BA5B2D">
              <w:rPr>
                <w:rFonts w:ascii="Times New Roman" w:hAnsi="Times New Roman" w:cs="Times New Roman"/>
                <w:bCs/>
                <w:szCs w:val="24"/>
              </w:rPr>
              <w:t xml:space="preserve">navržená úprava nepředstavuje nepřiměřený zásah do práv dotčených osob, neboť do doby vydání nařízení vlády o zvýšení důchodů nelze hovořit o silném legitimním očekávání a do dne nabytí jejich účinnosti nelze hovořit ani o nabytých právech. </w:t>
            </w:r>
          </w:p>
          <w:p w14:paraId="19200683" w14:textId="4350C931" w:rsidR="00BE7756" w:rsidRPr="00BA5B2D" w:rsidRDefault="00BE7756" w:rsidP="00193384">
            <w:pPr>
              <w:pStyle w:val="Bezmezer"/>
              <w:jc w:val="both"/>
              <w:rPr>
                <w:rFonts w:ascii="Times New Roman" w:hAnsi="Times New Roman" w:cs="Times New Roman"/>
              </w:rPr>
            </w:pPr>
            <w:r w:rsidRPr="00BA5B2D">
              <w:rPr>
                <w:rFonts w:ascii="Times New Roman" w:hAnsi="Times New Roman" w:cs="Times New Roman"/>
                <w:bCs/>
                <w:szCs w:val="24"/>
              </w:rPr>
              <w:t xml:space="preserve">Ohledně tvrzeného narušení zásluhovosti je třeba brát v úvahu, že </w:t>
            </w:r>
            <w:r w:rsidRPr="00BA5B2D">
              <w:rPr>
                <w:rFonts w:ascii="Times New Roman" w:hAnsi="Times New Roman" w:cs="Times New Roman"/>
              </w:rPr>
              <w:t>u dvou mimořádných valorizací v loňském roce nebylo navyšování proporcionální, ale ve prospěch vyšších důchodů (u nichž procentní výměra představuje větší část z celkové výše důchodu).</w:t>
            </w:r>
          </w:p>
          <w:p w14:paraId="0D433465" w14:textId="663DC721" w:rsidR="00BE7756" w:rsidRPr="00BA5B2D" w:rsidRDefault="00BE7756" w:rsidP="00193384">
            <w:pPr>
              <w:pStyle w:val="Bezmezer"/>
              <w:jc w:val="both"/>
              <w:rPr>
                <w:rFonts w:ascii="Times New Roman" w:hAnsi="Times New Roman" w:cs="Times New Roman"/>
                <w:bCs/>
                <w:szCs w:val="24"/>
              </w:rPr>
            </w:pPr>
          </w:p>
          <w:p w14:paraId="6B0D1EEB" w14:textId="35A9AE8A" w:rsidR="00BE7756" w:rsidRPr="00BA5B2D" w:rsidRDefault="00BE7756" w:rsidP="00193384">
            <w:pPr>
              <w:pStyle w:val="Bezmezer"/>
              <w:jc w:val="both"/>
              <w:rPr>
                <w:rFonts w:ascii="Times New Roman" w:hAnsi="Times New Roman" w:cs="Times New Roman"/>
              </w:rPr>
            </w:pPr>
            <w:r w:rsidRPr="00BA5B2D">
              <w:rPr>
                <w:rFonts w:ascii="Times New Roman" w:hAnsi="Times New Roman" w:cs="Times New Roman"/>
              </w:rPr>
              <w:t>Při srovnání efektu zvýšení podle současných pravidel a návrhu nelze porovnávat 11,5 % a 2,3 %, neboť v návrhu je i pevná částka 400 Kč, která u průměrného starobního důchodu představuje zvýšení procentní výměry o dalších 2,6 %, tj. v úhrnu jde u tohoto důchodu o srovnání 11,5 % vs 4,9 %.</w:t>
            </w:r>
          </w:p>
          <w:p w14:paraId="6B18D26B" w14:textId="77777777" w:rsidR="002F7554" w:rsidRPr="00BA5B2D" w:rsidRDefault="002F7554" w:rsidP="00193384">
            <w:pPr>
              <w:pStyle w:val="Bezmezer"/>
              <w:jc w:val="both"/>
              <w:rPr>
                <w:rFonts w:ascii="Times New Roman" w:hAnsi="Times New Roman" w:cs="Times New Roman"/>
                <w:bCs/>
                <w:szCs w:val="24"/>
              </w:rPr>
            </w:pPr>
          </w:p>
          <w:p w14:paraId="56F6F6E7" w14:textId="59780857" w:rsidR="002F7554" w:rsidRPr="00BA5B2D" w:rsidRDefault="002F7554" w:rsidP="00193384">
            <w:pPr>
              <w:pStyle w:val="Bezmezer"/>
              <w:jc w:val="both"/>
              <w:rPr>
                <w:rFonts w:ascii="Times New Roman" w:hAnsi="Times New Roman" w:cs="Times New Roman"/>
                <w:bCs/>
                <w:szCs w:val="24"/>
              </w:rPr>
            </w:pPr>
            <w:r w:rsidRPr="00BA5B2D">
              <w:rPr>
                <w:rFonts w:ascii="Times New Roman" w:hAnsi="Times New Roman" w:cs="Times New Roman"/>
                <w:bCs/>
                <w:szCs w:val="24"/>
              </w:rPr>
              <w:t xml:space="preserve">Při přípravě budoucích reformních opatření budou </w:t>
            </w:r>
            <w:r w:rsidR="00CB6E1F" w:rsidRPr="00BA5B2D">
              <w:rPr>
                <w:rFonts w:ascii="Times New Roman" w:hAnsi="Times New Roman" w:cs="Times New Roman"/>
                <w:bCs/>
                <w:szCs w:val="24"/>
              </w:rPr>
              <w:t xml:space="preserve">uváděné </w:t>
            </w:r>
            <w:r w:rsidRPr="00BA5B2D">
              <w:rPr>
                <w:rFonts w:ascii="Times New Roman" w:hAnsi="Times New Roman" w:cs="Times New Roman"/>
                <w:bCs/>
                <w:szCs w:val="24"/>
              </w:rPr>
              <w:t>aspekty nepochybně zohledněny.</w:t>
            </w:r>
          </w:p>
          <w:p w14:paraId="585F7558" w14:textId="612583D6" w:rsidR="002F7554" w:rsidRPr="00BA5B2D" w:rsidRDefault="002F7554" w:rsidP="00193384">
            <w:pPr>
              <w:pStyle w:val="Bezmezer"/>
              <w:jc w:val="both"/>
              <w:rPr>
                <w:rFonts w:ascii="Times New Roman" w:hAnsi="Times New Roman" w:cs="Times New Roman"/>
                <w:bCs/>
                <w:szCs w:val="24"/>
              </w:rPr>
            </w:pPr>
          </w:p>
          <w:p w14:paraId="773FA4E5" w14:textId="5FA5E491" w:rsidR="002F7554" w:rsidRPr="00BA5B2D" w:rsidRDefault="002F7554" w:rsidP="00193384">
            <w:pPr>
              <w:pStyle w:val="Bezmezer"/>
              <w:jc w:val="both"/>
              <w:rPr>
                <w:rFonts w:ascii="Times New Roman" w:hAnsi="Times New Roman" w:cs="Times New Roman"/>
                <w:bCs/>
                <w:szCs w:val="24"/>
              </w:rPr>
            </w:pPr>
          </w:p>
          <w:p w14:paraId="7A3E86C8" w14:textId="4BC5AD60" w:rsidR="002F7554" w:rsidRPr="00BA5B2D" w:rsidRDefault="002F7554" w:rsidP="00193384">
            <w:pPr>
              <w:pStyle w:val="Bezmezer"/>
              <w:jc w:val="both"/>
              <w:rPr>
                <w:rFonts w:ascii="Times New Roman" w:hAnsi="Times New Roman" w:cs="Times New Roman"/>
                <w:bCs/>
                <w:szCs w:val="24"/>
              </w:rPr>
            </w:pPr>
          </w:p>
          <w:p w14:paraId="79992C7D" w14:textId="044CB7D7" w:rsidR="002F7554" w:rsidRPr="00BA5B2D" w:rsidRDefault="002F7554" w:rsidP="00193384">
            <w:pPr>
              <w:pStyle w:val="Bezmezer"/>
              <w:jc w:val="both"/>
              <w:rPr>
                <w:rFonts w:ascii="Times New Roman" w:hAnsi="Times New Roman" w:cs="Times New Roman"/>
                <w:bCs/>
                <w:szCs w:val="24"/>
              </w:rPr>
            </w:pPr>
          </w:p>
          <w:p w14:paraId="0E357379" w14:textId="339B9D8F" w:rsidR="002F7554" w:rsidRPr="00BA5B2D" w:rsidRDefault="002F7554" w:rsidP="00193384">
            <w:pPr>
              <w:pStyle w:val="Bezmezer"/>
              <w:jc w:val="both"/>
              <w:rPr>
                <w:rFonts w:ascii="Times New Roman" w:hAnsi="Times New Roman" w:cs="Times New Roman"/>
                <w:bCs/>
                <w:szCs w:val="24"/>
              </w:rPr>
            </w:pPr>
          </w:p>
          <w:p w14:paraId="73F83E0E" w14:textId="15718764" w:rsidR="002F7554" w:rsidRPr="00BA5B2D" w:rsidRDefault="002F7554" w:rsidP="00193384">
            <w:pPr>
              <w:pStyle w:val="Bezmezer"/>
              <w:jc w:val="both"/>
              <w:rPr>
                <w:rFonts w:ascii="Times New Roman" w:hAnsi="Times New Roman" w:cs="Times New Roman"/>
                <w:bCs/>
                <w:szCs w:val="24"/>
              </w:rPr>
            </w:pPr>
          </w:p>
          <w:p w14:paraId="3F63B4CF" w14:textId="1501C17B" w:rsidR="002F7554" w:rsidRPr="00BA5B2D" w:rsidRDefault="002F7554" w:rsidP="00193384">
            <w:pPr>
              <w:pStyle w:val="Bezmezer"/>
              <w:jc w:val="both"/>
              <w:rPr>
                <w:rFonts w:ascii="Times New Roman" w:hAnsi="Times New Roman" w:cs="Times New Roman"/>
                <w:bCs/>
                <w:szCs w:val="24"/>
              </w:rPr>
            </w:pPr>
            <w:r w:rsidRPr="00BA5B2D">
              <w:rPr>
                <w:rFonts w:ascii="Times New Roman" w:hAnsi="Times New Roman" w:cs="Times New Roman"/>
              </w:rPr>
              <w:t>Důvodem maximálního zkrácení legislativního procesu je stihnout vydání nové úpravy do 50 dnů od konce ledna, tj. do 22. 3. 2023, aby nedošlo k vydání valorizačního nařízení vlády, které by posílilo legitimní očekávání veřejnosti ohledně zvýšení procentních výměr důchodů o plný růst cen. Důsledkem je mimo jiné i nemožnost projednání návrhu se sociálními partnery.</w:t>
            </w:r>
          </w:p>
          <w:p w14:paraId="13EC32FB" w14:textId="61E13E4D" w:rsidR="00BE7756" w:rsidRPr="00BA5B2D" w:rsidRDefault="00BE7756" w:rsidP="00193384">
            <w:pPr>
              <w:pStyle w:val="Bezmezer"/>
              <w:jc w:val="both"/>
              <w:rPr>
                <w:rFonts w:ascii="Times New Roman" w:hAnsi="Times New Roman" w:cs="Times New Roman"/>
              </w:rPr>
            </w:pPr>
          </w:p>
        </w:tc>
      </w:tr>
      <w:tr w:rsidR="002F0C94" w:rsidRPr="00193384" w14:paraId="4238A9FE"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1C8DDD1" w14:textId="453ABF1E" w:rsidR="002F0C94" w:rsidRPr="00841ABE" w:rsidRDefault="002535F2" w:rsidP="00081217">
            <w:pPr>
              <w:pStyle w:val="Bezmezer"/>
              <w:rPr>
                <w:rFonts w:ascii="Times New Roman" w:hAnsi="Times New Roman" w:cs="Times New Roman"/>
                <w:b/>
                <w:bCs/>
              </w:rPr>
            </w:pPr>
            <w:r>
              <w:rPr>
                <w:rFonts w:ascii="Times New Roman" w:hAnsi="Times New Roman" w:cs="Times New Roman"/>
                <w:b/>
                <w:bCs/>
              </w:rPr>
              <w:lastRenderedPageBreak/>
              <w:t>Rada seniorů</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21F2772A" w14:textId="7228F723" w:rsidR="002F0C94" w:rsidRPr="00193384" w:rsidRDefault="002535F2" w:rsidP="00081217">
            <w:pPr>
              <w:pStyle w:val="Bezmezer"/>
              <w:rPr>
                <w:rFonts w:ascii="Times New Roman" w:hAnsi="Times New Roman" w:cs="Times New Roman"/>
              </w:rPr>
            </w:pPr>
            <w:r>
              <w:rPr>
                <w:rFonts w:ascii="Times New Roman" w:hAnsi="Times New Roman" w:cs="Times New Roman"/>
              </w:rPr>
              <w:t>Obecně</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1473E9AE" w14:textId="77777777" w:rsidR="002535F2" w:rsidRPr="002535F2" w:rsidRDefault="002535F2" w:rsidP="002535F2">
            <w:pPr>
              <w:pStyle w:val="Bezmezer"/>
              <w:jc w:val="both"/>
              <w:rPr>
                <w:rFonts w:ascii="Times New Roman" w:hAnsi="Times New Roman" w:cs="Times New Roman"/>
                <w:b/>
                <w:bCs/>
              </w:rPr>
            </w:pPr>
            <w:r w:rsidRPr="002535F2">
              <w:rPr>
                <w:rFonts w:ascii="Times New Roman" w:hAnsi="Times New Roman" w:cs="Times New Roman"/>
                <w:b/>
                <w:bCs/>
              </w:rPr>
              <w:t>Stanovisko vedení RS ČR k avizované změně v mimořádné valorizaci</w:t>
            </w:r>
          </w:p>
          <w:p w14:paraId="3DD86B3D" w14:textId="77777777" w:rsidR="002535F2" w:rsidRPr="002535F2" w:rsidRDefault="002535F2" w:rsidP="002535F2">
            <w:pPr>
              <w:pStyle w:val="Bezmezer"/>
              <w:jc w:val="both"/>
              <w:rPr>
                <w:rFonts w:ascii="Times New Roman" w:hAnsi="Times New Roman" w:cs="Times New Roman"/>
              </w:rPr>
            </w:pPr>
            <w:r w:rsidRPr="002535F2">
              <w:rPr>
                <w:rFonts w:ascii="Times New Roman" w:hAnsi="Times New Roman" w:cs="Times New Roman"/>
              </w:rPr>
              <w:t>Rada seniorů dostala k připomínkování i návrh zákona, kterým se mění zákon č. 155/1995 Sb., o důchodovém pojištění, ve znění pozdějších předpisů, a některé další zákony. Na připomínkování změny zákona máme jediný den, což není běžné. Ve středu 15. února vláda návrh představila, ve čtvrtek jsme obdrželi návrh zákona a do pátku máme odeslat vyjádření.</w:t>
            </w:r>
          </w:p>
          <w:p w14:paraId="3296D163" w14:textId="77777777" w:rsidR="002535F2" w:rsidRPr="002535F2" w:rsidRDefault="002535F2" w:rsidP="002535F2">
            <w:pPr>
              <w:pStyle w:val="Bezmezer"/>
              <w:jc w:val="both"/>
              <w:rPr>
                <w:rFonts w:ascii="Times New Roman" w:hAnsi="Times New Roman" w:cs="Times New Roman"/>
              </w:rPr>
            </w:pPr>
            <w:r w:rsidRPr="002535F2">
              <w:rPr>
                <w:rFonts w:ascii="Times New Roman" w:hAnsi="Times New Roman" w:cs="Times New Roman"/>
              </w:rPr>
              <w:t>Navzdory tomu, že byla veřejnost několikrát ujištěna, že nový mechanismus se nedotkne valorizace v červnu 2023, a to z důvodu nepředvídatelnosti, je najednou vše jinak!</w:t>
            </w:r>
          </w:p>
          <w:p w14:paraId="5EEB8EB7" w14:textId="77777777" w:rsidR="002535F2" w:rsidRPr="002535F2" w:rsidRDefault="002535F2" w:rsidP="002535F2">
            <w:pPr>
              <w:pStyle w:val="Bezmezer"/>
              <w:jc w:val="both"/>
              <w:rPr>
                <w:rFonts w:ascii="Times New Roman" w:hAnsi="Times New Roman" w:cs="Times New Roman"/>
              </w:rPr>
            </w:pPr>
            <w:r w:rsidRPr="002535F2">
              <w:rPr>
                <w:rFonts w:ascii="Times New Roman" w:hAnsi="Times New Roman" w:cs="Times New Roman"/>
                <w:b/>
                <w:bCs/>
              </w:rPr>
              <w:t xml:space="preserve">Faktem je, že již od jara loňského roku upozorňuje vedení RS ČR na skutečnost, že mimořádné valorizace vztahující se pouze </w:t>
            </w:r>
            <w:r w:rsidRPr="002535F2">
              <w:rPr>
                <w:rFonts w:ascii="Times New Roman" w:hAnsi="Times New Roman" w:cs="Times New Roman"/>
                <w:b/>
                <w:bCs/>
              </w:rPr>
              <w:lastRenderedPageBreak/>
              <w:t xml:space="preserve">na zásluhovou složku v době enormní inflace rozevírá nůžky mezi vysokopříjmovými a nízkopříjmovými seniory. Upozorňovali jsme dlouhodobě na skutečnost, že na průměrnou penzi přibližně polovina osob nedosáhne, a proto je jejich navýšení menší než proklamovaná suma. </w:t>
            </w:r>
            <w:r w:rsidRPr="002535F2">
              <w:rPr>
                <w:rFonts w:ascii="Times New Roman" w:hAnsi="Times New Roman" w:cs="Times New Roman"/>
              </w:rPr>
              <w:t>Ministr práce a sociálních věcí Marian Jurečka ujišťoval, že se touto otázkou bude zabývat.</w:t>
            </w:r>
          </w:p>
          <w:p w14:paraId="0DCEF4D3" w14:textId="77777777" w:rsidR="002535F2" w:rsidRPr="002535F2" w:rsidRDefault="002535F2" w:rsidP="002535F2">
            <w:pPr>
              <w:pStyle w:val="Bezmezer"/>
              <w:jc w:val="both"/>
              <w:rPr>
                <w:rFonts w:ascii="Times New Roman" w:hAnsi="Times New Roman" w:cs="Times New Roman"/>
              </w:rPr>
            </w:pPr>
          </w:p>
          <w:p w14:paraId="5792FD2C" w14:textId="77777777" w:rsidR="002535F2" w:rsidRPr="002535F2" w:rsidRDefault="002535F2" w:rsidP="002535F2">
            <w:pPr>
              <w:pStyle w:val="Bezmezer"/>
              <w:jc w:val="both"/>
              <w:rPr>
                <w:rFonts w:ascii="Times New Roman" w:hAnsi="Times New Roman" w:cs="Times New Roman"/>
              </w:rPr>
            </w:pPr>
            <w:r w:rsidRPr="002535F2">
              <w:rPr>
                <w:rFonts w:ascii="Times New Roman" w:hAnsi="Times New Roman" w:cs="Times New Roman"/>
              </w:rPr>
              <w:t xml:space="preserve">Návrh zákona s principem podpory nízkopříjmových skutečně pracuje. Jenže představeným mechanismem si však podle propočtů RS ČR </w:t>
            </w:r>
            <w:r w:rsidRPr="002535F2">
              <w:rPr>
                <w:rFonts w:ascii="Times New Roman" w:hAnsi="Times New Roman" w:cs="Times New Roman"/>
                <w:b/>
                <w:bCs/>
              </w:rPr>
              <w:t xml:space="preserve">oproti původnímu mechanismu valorizace </w:t>
            </w:r>
            <w:proofErr w:type="gramStart"/>
            <w:r w:rsidRPr="002535F2">
              <w:rPr>
                <w:rFonts w:ascii="Times New Roman" w:hAnsi="Times New Roman" w:cs="Times New Roman"/>
                <w:b/>
                <w:bCs/>
              </w:rPr>
              <w:t>přilepší</w:t>
            </w:r>
            <w:proofErr w:type="gramEnd"/>
            <w:r w:rsidRPr="002535F2">
              <w:rPr>
                <w:rFonts w:ascii="Times New Roman" w:hAnsi="Times New Roman" w:cs="Times New Roman"/>
                <w:b/>
                <w:bCs/>
              </w:rPr>
              <w:t xml:space="preserve"> pouze zhruba 30 000 důchodců. Vládou představený návrh pomůže pouze těm, kteří mají penze 8 000 Kč a nižší. 2 337 186 příjemců starobních penzí na vládou navržený mechanismus doplatí! To je pro Radu seniorů ČR nepřijatelné, proto takový návrh zákona podpořit nemůže!</w:t>
            </w:r>
          </w:p>
          <w:p w14:paraId="3D075581" w14:textId="77777777" w:rsidR="002535F2" w:rsidRPr="002535F2" w:rsidRDefault="002535F2" w:rsidP="002535F2">
            <w:pPr>
              <w:pStyle w:val="Bezmezer"/>
              <w:jc w:val="both"/>
              <w:rPr>
                <w:rFonts w:ascii="Times New Roman" w:hAnsi="Times New Roman" w:cs="Times New Roman"/>
              </w:rPr>
            </w:pPr>
            <w:r w:rsidRPr="002535F2">
              <w:rPr>
                <w:rFonts w:ascii="Times New Roman" w:hAnsi="Times New Roman" w:cs="Times New Roman"/>
              </w:rPr>
              <w:t>Pro úplnost je třeba dodat, že vycházíme z dat platných k 31. 12. 2022, je tedy více než pravděpodobné, že po přičtení výchovného se počet příjemců penzí menších než 8 000 Kč ještě snížil.</w:t>
            </w:r>
          </w:p>
          <w:p w14:paraId="5D680B81" w14:textId="77777777" w:rsidR="002535F2" w:rsidRPr="002535F2" w:rsidRDefault="002535F2" w:rsidP="002535F2">
            <w:pPr>
              <w:pStyle w:val="Bezmezer"/>
              <w:jc w:val="both"/>
              <w:rPr>
                <w:rFonts w:ascii="Times New Roman" w:hAnsi="Times New Roman" w:cs="Times New Roman"/>
                <w:b/>
                <w:bCs/>
              </w:rPr>
            </w:pPr>
            <w:r w:rsidRPr="002535F2">
              <w:rPr>
                <w:rFonts w:ascii="Times New Roman" w:hAnsi="Times New Roman" w:cs="Times New Roman"/>
                <w:b/>
                <w:bCs/>
              </w:rPr>
              <w:t>Pokud chce vláda opravdu pomáhat nejchudším, musela by hranici stanovit na základě dat.</w:t>
            </w:r>
            <w:r w:rsidRPr="002535F2">
              <w:rPr>
                <w:rFonts w:ascii="Times New Roman" w:hAnsi="Times New Roman" w:cs="Times New Roman"/>
              </w:rPr>
              <w:t xml:space="preserve"> Například podle průměrného důchodu a podpořit ty pod ním. Dovedeme si představit i model, že by pracovala s průměrným důchodem k 1. 1. 2022, tedy před mimořádnými valorizacemi. Umíme si představit, že by se řídila daty ČSÚ a hranicí příjmové chudoby. Ta byla v roce 2021 14 055 Kč, až budou kompletní data za rok 2022, dá se předpokládat, že se hranice posune. Ale i pokud by vláda pracovala alespoň s touto částkou, mělo by to svou logiku a byli bychom ochotni o takovém kompromisu diskutovat. Počet seniorů, kterým by se takto pomohlo, by byl v případě loňské průměrné penze asi 580 000 osob a z dat o příjmové chudobě by to bylo kolem 300 000 osob. </w:t>
            </w:r>
            <w:r w:rsidRPr="002535F2">
              <w:rPr>
                <w:rFonts w:ascii="Times New Roman" w:hAnsi="Times New Roman" w:cs="Times New Roman"/>
                <w:b/>
                <w:bCs/>
              </w:rPr>
              <w:t>Takže i v těchto případech by na tom byla většina důchodců hůře.</w:t>
            </w:r>
          </w:p>
          <w:p w14:paraId="7B8E454D" w14:textId="77777777" w:rsidR="002535F2" w:rsidRPr="002535F2" w:rsidRDefault="002535F2" w:rsidP="002535F2">
            <w:pPr>
              <w:pStyle w:val="Bezmezer"/>
              <w:jc w:val="both"/>
              <w:rPr>
                <w:rFonts w:ascii="Times New Roman" w:hAnsi="Times New Roman" w:cs="Times New Roman"/>
              </w:rPr>
            </w:pPr>
          </w:p>
          <w:p w14:paraId="1C059B54" w14:textId="77777777" w:rsidR="002535F2" w:rsidRPr="002535F2" w:rsidRDefault="002535F2" w:rsidP="002535F2">
            <w:pPr>
              <w:pStyle w:val="Bezmezer"/>
              <w:jc w:val="both"/>
              <w:rPr>
                <w:rFonts w:ascii="Times New Roman" w:hAnsi="Times New Roman" w:cs="Times New Roman"/>
              </w:rPr>
            </w:pPr>
            <w:r w:rsidRPr="002535F2">
              <w:rPr>
                <w:rFonts w:ascii="Times New Roman" w:hAnsi="Times New Roman" w:cs="Times New Roman"/>
              </w:rPr>
              <w:lastRenderedPageBreak/>
              <w:t xml:space="preserve">Vláda zdůrazňuje nutnost mezigenerační solidarity, dlouhodobou udržitelnost důchodového systému. Tomu všemu Rada seniorů rozumí, ale jsme přesvědčeni, že tyto kroky se mají dělat systémově a mají být předvídatelné. Co se týče mezigenerační solidarity, je zajímavé, že se o ní většinou nemluví v tom smyslu, že by mladá a střední generace měla mít ohled a být solidární se seniory, ale spíše naopak. Nemusíme chodit zas tak daleko do historie. </w:t>
            </w:r>
            <w:r w:rsidRPr="002535F2">
              <w:rPr>
                <w:rFonts w:ascii="Times New Roman" w:hAnsi="Times New Roman" w:cs="Times New Roman"/>
                <w:b/>
                <w:bCs/>
              </w:rPr>
              <w:t xml:space="preserve">Byli to senioři, kteří jako jediná skupina přišli za vlády premiéra Topolánka v roce 2012 o slevu na jízdném, stejně tak byli pracující důchodci jedinou skupinou, která neměla nárok na odpočet za poplatníka z daní, a byli to senioři, kterým byl růst důchodů dokonce zmrazen. V důsledku toho klesl náhradový poměr – tedy poměr mezi penzí a průměrnou hrubou mzdou na 38,8 % v roce 2018. </w:t>
            </w:r>
            <w:r w:rsidRPr="002535F2">
              <w:rPr>
                <w:rFonts w:ascii="Times New Roman" w:hAnsi="Times New Roman" w:cs="Times New Roman"/>
              </w:rPr>
              <w:t>V roce 2021 činil tento poměr 40,8, což je hodnota srovnatelná s roky 2004-2007.</w:t>
            </w:r>
          </w:p>
          <w:p w14:paraId="1E249ED7" w14:textId="77777777" w:rsidR="002535F2" w:rsidRPr="002535F2" w:rsidRDefault="002535F2" w:rsidP="002535F2">
            <w:pPr>
              <w:pStyle w:val="Bezmezer"/>
              <w:jc w:val="both"/>
              <w:rPr>
                <w:rFonts w:ascii="Times New Roman" w:hAnsi="Times New Roman" w:cs="Times New Roman"/>
              </w:rPr>
            </w:pPr>
          </w:p>
          <w:p w14:paraId="36521600" w14:textId="77777777" w:rsidR="002F0C94" w:rsidRDefault="002535F2" w:rsidP="00081217">
            <w:pPr>
              <w:pStyle w:val="Bezmezer"/>
              <w:jc w:val="both"/>
              <w:rPr>
                <w:rFonts w:ascii="Times New Roman" w:hAnsi="Times New Roman" w:cs="Times New Roman"/>
              </w:rPr>
            </w:pPr>
            <w:r w:rsidRPr="002535F2">
              <w:rPr>
                <w:rFonts w:ascii="Times New Roman" w:hAnsi="Times New Roman" w:cs="Times New Roman"/>
              </w:rPr>
              <w:t>Shrnutí je jasné. S takto navrženou změnou mimořádné valorizace Rada seniorů ČR nesouhlasí. A proto má zásadní připomínky i k návrhu novely zákona.</w:t>
            </w:r>
          </w:p>
          <w:p w14:paraId="7E3B6D41" w14:textId="77777777" w:rsidR="002535F2" w:rsidRDefault="002535F2" w:rsidP="00081217">
            <w:pPr>
              <w:pStyle w:val="Bezmezer"/>
              <w:jc w:val="both"/>
              <w:rPr>
                <w:rFonts w:ascii="Times New Roman" w:hAnsi="Times New Roman" w:cs="Times New Roman"/>
              </w:rPr>
            </w:pPr>
          </w:p>
          <w:p w14:paraId="6DD250BC" w14:textId="62A9BE3D" w:rsidR="002535F2" w:rsidRPr="002535F2" w:rsidRDefault="002535F2" w:rsidP="00081217">
            <w:pPr>
              <w:pStyle w:val="Bezmezer"/>
              <w:jc w:val="both"/>
              <w:rPr>
                <w:rFonts w:ascii="Times New Roman" w:hAnsi="Times New Roman" w:cs="Times New Roman"/>
                <w:b/>
                <w:bCs/>
                <w:u w:val="single"/>
              </w:rPr>
            </w:pPr>
            <w:r w:rsidRPr="002535F2">
              <w:rPr>
                <w:rFonts w:ascii="Times New Roman" w:hAnsi="Times New Roman" w:cs="Times New Roman"/>
                <w:b/>
                <w:bCs/>
                <w:u w:val="single"/>
              </w:rPr>
              <w:t>Zásadní připomínka</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7C01EC49" w14:textId="77777777" w:rsidR="00044AC0" w:rsidRPr="00044AC0" w:rsidRDefault="00044AC0" w:rsidP="00044AC0">
            <w:pPr>
              <w:pStyle w:val="Bezmezer"/>
              <w:jc w:val="both"/>
              <w:rPr>
                <w:rFonts w:ascii="Times New Roman" w:hAnsi="Times New Roman" w:cs="Times New Roman"/>
                <w:b/>
                <w:bCs/>
                <w:u w:val="single"/>
              </w:rPr>
            </w:pPr>
            <w:r w:rsidRPr="00044AC0">
              <w:rPr>
                <w:rFonts w:ascii="Times New Roman" w:hAnsi="Times New Roman" w:cs="Times New Roman"/>
                <w:b/>
                <w:bCs/>
                <w:u w:val="single"/>
              </w:rPr>
              <w:lastRenderedPageBreak/>
              <w:t>Neakceptováno.</w:t>
            </w:r>
          </w:p>
          <w:p w14:paraId="6CD81105" w14:textId="77777777" w:rsidR="00044AC0" w:rsidRDefault="00044AC0" w:rsidP="00044AC0">
            <w:pPr>
              <w:pStyle w:val="Bezmezer"/>
              <w:jc w:val="both"/>
              <w:rPr>
                <w:rFonts w:ascii="Times New Roman" w:hAnsi="Times New Roman" w:cs="Times New Roman"/>
              </w:rPr>
            </w:pPr>
          </w:p>
          <w:p w14:paraId="70D2B1E4" w14:textId="5D25D5BC" w:rsidR="00044AC0" w:rsidRPr="00044AC0" w:rsidRDefault="00044AC0" w:rsidP="00044AC0">
            <w:pPr>
              <w:pStyle w:val="Bezmezer"/>
              <w:jc w:val="both"/>
              <w:rPr>
                <w:rFonts w:ascii="Times New Roman" w:hAnsi="Times New Roman" w:cs="Times New Roman"/>
              </w:rPr>
            </w:pPr>
            <w:r w:rsidRPr="00044AC0">
              <w:rPr>
                <w:rFonts w:ascii="Times New Roman" w:hAnsi="Times New Roman" w:cs="Times New Roman"/>
              </w:rPr>
              <w:t xml:space="preserve">Základním zadáním u tohoto opatření jsou maximální náklady na zvýšení v mimořádném termínu v roce 2023 na úrovni </w:t>
            </w:r>
            <w:r w:rsidR="00327BEE">
              <w:rPr>
                <w:rFonts w:ascii="Times New Roman" w:hAnsi="Times New Roman" w:cs="Times New Roman"/>
              </w:rPr>
              <w:t xml:space="preserve">cca </w:t>
            </w:r>
            <w:r w:rsidRPr="00044AC0">
              <w:rPr>
                <w:rFonts w:ascii="Times New Roman" w:hAnsi="Times New Roman" w:cs="Times New Roman"/>
              </w:rPr>
              <w:t xml:space="preserve">15 mld. Kč. Aby bylo možné tohoto cíle dosáhnout, je maximální dosažitelná částka zvýšení (tj. částka, kterou by mohli dostat všichni důchodci ve stejné výši) na úrovni 752 Kč, což odpovídá zvýšení podle současných pravidel u důchodů na úrovni 10 570 Kč. Teoreticky by tedy bylo možné v rámci nového nastavení zvýšení v červnu 2023 zvýhodnit důchodce s důchodem do </w:t>
            </w:r>
            <w:r w:rsidR="00BA5B2D">
              <w:rPr>
                <w:rFonts w:ascii="Times New Roman" w:hAnsi="Times New Roman" w:cs="Times New Roman"/>
              </w:rPr>
              <w:t xml:space="preserve">      </w:t>
            </w:r>
            <w:r w:rsidRPr="00044AC0">
              <w:rPr>
                <w:rFonts w:ascii="Times New Roman" w:hAnsi="Times New Roman" w:cs="Times New Roman"/>
              </w:rPr>
              <w:t xml:space="preserve">10 570 Kč, přičemž u jakékoliv vyšší hranice by již </w:t>
            </w:r>
            <w:r w:rsidRPr="00044AC0">
              <w:rPr>
                <w:rFonts w:ascii="Times New Roman" w:hAnsi="Times New Roman" w:cs="Times New Roman"/>
              </w:rPr>
              <w:lastRenderedPageBreak/>
              <w:t>nebylo možné dosáhnout primárního cíle nákladů na úrovni 15 mld</w:t>
            </w:r>
            <w:r w:rsidR="007773FA">
              <w:rPr>
                <w:rFonts w:ascii="Times New Roman" w:hAnsi="Times New Roman" w:cs="Times New Roman"/>
              </w:rPr>
              <w:t>.</w:t>
            </w:r>
            <w:r w:rsidRPr="00044AC0">
              <w:rPr>
                <w:rFonts w:ascii="Times New Roman" w:hAnsi="Times New Roman" w:cs="Times New Roman"/>
              </w:rPr>
              <w:t xml:space="preserve"> Kč. Návrhy Rady seniorů jsou v rámci základního cíle zadání neproveditelné.</w:t>
            </w:r>
          </w:p>
          <w:p w14:paraId="5DFF5DF4" w14:textId="77777777" w:rsidR="00044AC0" w:rsidRPr="00044AC0" w:rsidRDefault="00044AC0" w:rsidP="00044AC0">
            <w:pPr>
              <w:pStyle w:val="Bezmezer"/>
              <w:jc w:val="both"/>
              <w:rPr>
                <w:rFonts w:ascii="Times New Roman" w:hAnsi="Times New Roman" w:cs="Times New Roman"/>
              </w:rPr>
            </w:pPr>
            <w:r w:rsidRPr="00044AC0">
              <w:rPr>
                <w:rFonts w:ascii="Times New Roman" w:hAnsi="Times New Roman" w:cs="Times New Roman"/>
              </w:rPr>
              <w:t>Je třeba brát v úvahu, že v posledních 14 měsících došlo k výraznému nárůstu všech důchodů a náhradový poměr k průměrné mzdě vzrostl ze zhruba 40 % na více jak 47 %. Vlivem minulých zvýšení důchodů jsou důchodci, jako celková socioekonomická skupina, nejlépe příjmově chráněnou skupinou obyvatel. Zatímco reálná hodnota, tj. kupní síla, průměrné mzdy podle očekávání klesne mezi lety 2021 a 2023 o 11,4 %, reálná hodnota průměrného samostatně vypláceného starobního důchodu při provedení mimořádného zvýšení důchodů podle navrhované úpravy sice ve stejném období také poklesne, ale jen o 2,6 %.</w:t>
            </w:r>
          </w:p>
          <w:p w14:paraId="28C449A9" w14:textId="6CE4CC44" w:rsidR="00044AC0" w:rsidRPr="00044AC0" w:rsidRDefault="00044AC0" w:rsidP="00044AC0">
            <w:pPr>
              <w:pStyle w:val="Bezmezer"/>
              <w:jc w:val="both"/>
              <w:rPr>
                <w:rFonts w:ascii="Times New Roman" w:hAnsi="Times New Roman" w:cs="Times New Roman"/>
              </w:rPr>
            </w:pPr>
            <w:r w:rsidRPr="00044AC0">
              <w:rPr>
                <w:rFonts w:ascii="Times New Roman" w:hAnsi="Times New Roman" w:cs="Times New Roman"/>
              </w:rPr>
              <w:t>Bilance příjmů z pojistného a výdajů na důchody se v</w:t>
            </w:r>
            <w:r w:rsidR="000D46A4">
              <w:rPr>
                <w:rFonts w:ascii="Times New Roman" w:hAnsi="Times New Roman" w:cs="Times New Roman"/>
              </w:rPr>
              <w:t> </w:t>
            </w:r>
            <w:r w:rsidRPr="00044AC0">
              <w:rPr>
                <w:rFonts w:ascii="Times New Roman" w:hAnsi="Times New Roman" w:cs="Times New Roman"/>
              </w:rPr>
              <w:t>poslední</w:t>
            </w:r>
            <w:r w:rsidR="000D46A4">
              <w:rPr>
                <w:rFonts w:ascii="Times New Roman" w:hAnsi="Times New Roman" w:cs="Times New Roman"/>
              </w:rPr>
              <w:t>/</w:t>
            </w:r>
            <w:r w:rsidRPr="00044AC0">
              <w:rPr>
                <w:rFonts w:ascii="Times New Roman" w:hAnsi="Times New Roman" w:cs="Times New Roman"/>
              </w:rPr>
              <w:t>m období prudce zhoršuje. V uváděném roce 2021 s relativně nižšími výdaji na důchody v poměru k HDP byl vykázán přebytek na úrovni cca 4,5 mld. Kč, nicméně v roce 2022 již deficit na úrovni 17,5 mld. Kč a v roce 2023 je očekávaný deficit i bez dopadů zvýšení v mimořádném termínu výrazně přes 50 mld. Kč, s valorizací dle vládního návrhu na úrovni 70 mld. Kč. Je tedy zřejmé, že dochází k výrazné disproporci mezi příjmovou (tj. příjmy výdělečně činných osob) a výdajovou (tj. příjmy poživatelů důchodů) stranou důchodového účtu, na což je třeba reagovat za účelem zachování finanční udržitelnosti důchodového systému.</w:t>
            </w:r>
          </w:p>
          <w:p w14:paraId="38702B44" w14:textId="0D4AA114" w:rsidR="002F0C94" w:rsidRPr="00193384" w:rsidRDefault="00044AC0" w:rsidP="00044AC0">
            <w:pPr>
              <w:pStyle w:val="Bezmezer"/>
              <w:jc w:val="both"/>
              <w:rPr>
                <w:rFonts w:ascii="Times New Roman" w:hAnsi="Times New Roman" w:cs="Times New Roman"/>
              </w:rPr>
            </w:pPr>
            <w:r w:rsidRPr="00044AC0">
              <w:rPr>
                <w:rFonts w:ascii="Times New Roman" w:hAnsi="Times New Roman" w:cs="Times New Roman"/>
              </w:rPr>
              <w:t xml:space="preserve">Opatření je navrženo jako sociálně citlivé a proporcionální, neboť i přes určité omezení, k němuž pro případ této jedné valorizace v mimořádném </w:t>
            </w:r>
            <w:r w:rsidRPr="00044AC0">
              <w:rPr>
                <w:rFonts w:ascii="Times New Roman" w:hAnsi="Times New Roman" w:cs="Times New Roman"/>
              </w:rPr>
              <w:lastRenderedPageBreak/>
              <w:t xml:space="preserve">termínu dochází, dojde ke zvýšení náhradového poměru důchodů o 3,6 </w:t>
            </w:r>
            <w:proofErr w:type="spellStart"/>
            <w:r w:rsidRPr="00044AC0">
              <w:rPr>
                <w:rFonts w:ascii="Times New Roman" w:hAnsi="Times New Roman" w:cs="Times New Roman"/>
              </w:rPr>
              <w:t>p.b</w:t>
            </w:r>
            <w:proofErr w:type="spellEnd"/>
            <w:r w:rsidRPr="00044AC0">
              <w:rPr>
                <w:rFonts w:ascii="Times New Roman" w:hAnsi="Times New Roman" w:cs="Times New Roman"/>
              </w:rPr>
              <w:t>. oproti roku 2022 a navrhovaná úprava zároveň zachovává plnou míru solidarity vůči nejzranitelnější skupině osob s nejnižšími důchody (pevná částka 400 Kč pro všechny bez ohledu na výši důchodu).</w:t>
            </w:r>
          </w:p>
        </w:tc>
      </w:tr>
      <w:tr w:rsidR="002F0C94" w:rsidRPr="00193384" w14:paraId="02384FDF"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DE4A65" w14:textId="38DE9292" w:rsidR="002F0C94" w:rsidRPr="002535F2" w:rsidRDefault="005E5DCB" w:rsidP="00081217">
            <w:pPr>
              <w:pStyle w:val="Bezmezer"/>
              <w:rPr>
                <w:rFonts w:ascii="Times New Roman" w:hAnsi="Times New Roman" w:cs="Times New Roman"/>
              </w:rPr>
            </w:pPr>
            <w:r>
              <w:rPr>
                <w:rFonts w:ascii="Times New Roman" w:hAnsi="Times New Roman" w:cs="Times New Roman"/>
              </w:rPr>
              <w:lastRenderedPageBreak/>
              <w:t>Rada seniorů</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74D8C55A" w14:textId="6D430AA3" w:rsidR="002F0C94" w:rsidRPr="002535F2" w:rsidRDefault="005E5DCB" w:rsidP="00081217">
            <w:pPr>
              <w:pStyle w:val="Bezmezer"/>
              <w:rPr>
                <w:rFonts w:ascii="Times New Roman" w:hAnsi="Times New Roman" w:cs="Times New Roman"/>
              </w:rPr>
            </w:pPr>
            <w:r>
              <w:rPr>
                <w:rFonts w:ascii="Times New Roman" w:hAnsi="Times New Roman" w:cs="Times New Roman"/>
              </w:rPr>
              <w:t>K návrhu zákona</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7F139F4D" w14:textId="77777777" w:rsidR="002535F2" w:rsidRPr="002535F2" w:rsidRDefault="002535F2" w:rsidP="002535F2">
            <w:pPr>
              <w:pStyle w:val="Bezmezer"/>
              <w:jc w:val="both"/>
              <w:rPr>
                <w:rFonts w:ascii="Times New Roman" w:hAnsi="Times New Roman" w:cs="Times New Roman"/>
                <w:b/>
              </w:rPr>
            </w:pPr>
            <w:r w:rsidRPr="002535F2">
              <w:rPr>
                <w:rFonts w:ascii="Times New Roman" w:hAnsi="Times New Roman" w:cs="Times New Roman"/>
                <w:b/>
              </w:rPr>
              <w:t>Připomínky RS ČR k návrhu zákona, kterým se mění zákon č. 155/1995 Sb., o důchodovém pojištění, ve znění pozdějších předpisů, a některé další zákony</w:t>
            </w:r>
          </w:p>
          <w:p w14:paraId="7CF9756F" w14:textId="77777777" w:rsidR="002535F2" w:rsidRPr="002535F2" w:rsidRDefault="002535F2" w:rsidP="002535F2">
            <w:pPr>
              <w:pStyle w:val="Bezmezer"/>
              <w:jc w:val="both"/>
              <w:rPr>
                <w:rFonts w:ascii="Times New Roman" w:hAnsi="Times New Roman" w:cs="Times New Roman"/>
                <w:b/>
              </w:rPr>
            </w:pPr>
          </w:p>
          <w:p w14:paraId="091B1D76" w14:textId="41202AF6" w:rsidR="002535F2" w:rsidRDefault="002535F2" w:rsidP="002535F2">
            <w:pPr>
              <w:pStyle w:val="Bezmezer"/>
              <w:jc w:val="both"/>
              <w:rPr>
                <w:rFonts w:ascii="Times New Roman" w:hAnsi="Times New Roman" w:cs="Times New Roman"/>
              </w:rPr>
            </w:pPr>
            <w:r w:rsidRPr="002535F2">
              <w:rPr>
                <w:rFonts w:ascii="Times New Roman" w:hAnsi="Times New Roman" w:cs="Times New Roman"/>
              </w:rPr>
              <w:t xml:space="preserve">Rada seniorů ČR nesouhlasí </w:t>
            </w:r>
            <w:proofErr w:type="gramStart"/>
            <w:r w:rsidRPr="002535F2">
              <w:rPr>
                <w:rFonts w:ascii="Times New Roman" w:hAnsi="Times New Roman" w:cs="Times New Roman"/>
              </w:rPr>
              <w:t>ze</w:t>
            </w:r>
            <w:proofErr w:type="gramEnd"/>
            <w:r w:rsidRPr="002535F2">
              <w:rPr>
                <w:rFonts w:ascii="Times New Roman" w:hAnsi="Times New Roman" w:cs="Times New Roman"/>
              </w:rPr>
              <w:t xml:space="preserve"> změnou „§ 67c a to zejména proto, že se má týkat již červnové valorizace, to považujeme za nepřípustné.</w:t>
            </w:r>
          </w:p>
          <w:p w14:paraId="0A1D01D4" w14:textId="77777777" w:rsidR="002535F2" w:rsidRPr="002535F2" w:rsidRDefault="002535F2" w:rsidP="002535F2">
            <w:pPr>
              <w:pStyle w:val="Bezmezer"/>
              <w:jc w:val="both"/>
              <w:rPr>
                <w:rFonts w:ascii="Times New Roman" w:hAnsi="Times New Roman" w:cs="Times New Roman"/>
              </w:rPr>
            </w:pPr>
          </w:p>
          <w:p w14:paraId="7045EE56" w14:textId="3B7636C6" w:rsidR="002535F2" w:rsidRPr="002535F2" w:rsidRDefault="002535F2" w:rsidP="00D95B3F">
            <w:pPr>
              <w:pStyle w:val="Bezmezer"/>
              <w:numPr>
                <w:ilvl w:val="0"/>
                <w:numId w:val="33"/>
              </w:numPr>
              <w:ind w:left="268" w:hanging="142"/>
              <w:jc w:val="both"/>
              <w:rPr>
                <w:rFonts w:ascii="Times New Roman" w:hAnsi="Times New Roman" w:cs="Times New Roman"/>
              </w:rPr>
            </w:pPr>
            <w:r w:rsidRPr="002535F2">
              <w:rPr>
                <w:rFonts w:ascii="Times New Roman" w:hAnsi="Times New Roman" w:cs="Times New Roman"/>
              </w:rPr>
              <w:t xml:space="preserve">Souhlasíme s úpravou, kdy se </w:t>
            </w:r>
            <w:proofErr w:type="gramStart"/>
            <w:r w:rsidRPr="002535F2">
              <w:rPr>
                <w:rFonts w:ascii="Times New Roman" w:hAnsi="Times New Roman" w:cs="Times New Roman"/>
              </w:rPr>
              <w:t>zvýší</w:t>
            </w:r>
            <w:proofErr w:type="gramEnd"/>
            <w:r w:rsidRPr="002535F2">
              <w:rPr>
                <w:rFonts w:ascii="Times New Roman" w:hAnsi="Times New Roman" w:cs="Times New Roman"/>
              </w:rPr>
              <w:t xml:space="preserve"> procentní výměra důchodu a přidá se pevná částka, </w:t>
            </w:r>
          </w:p>
          <w:p w14:paraId="45D55B78" w14:textId="77777777" w:rsidR="002535F2" w:rsidRPr="002535F2" w:rsidRDefault="002535F2" w:rsidP="00D95B3F">
            <w:pPr>
              <w:pStyle w:val="Bezmezer"/>
              <w:numPr>
                <w:ilvl w:val="0"/>
                <w:numId w:val="33"/>
              </w:numPr>
              <w:ind w:left="268" w:hanging="142"/>
              <w:jc w:val="both"/>
              <w:rPr>
                <w:rFonts w:ascii="Times New Roman" w:hAnsi="Times New Roman" w:cs="Times New Roman"/>
              </w:rPr>
            </w:pPr>
            <w:r w:rsidRPr="002535F2">
              <w:rPr>
                <w:rFonts w:ascii="Times New Roman" w:hAnsi="Times New Roman" w:cs="Times New Roman"/>
              </w:rPr>
              <w:lastRenderedPageBreak/>
              <w:t xml:space="preserve">Nesouhlasíme ale s uvedenými ciframi, které znamenají, že si </w:t>
            </w:r>
            <w:proofErr w:type="gramStart"/>
            <w:r w:rsidRPr="002535F2">
              <w:rPr>
                <w:rFonts w:ascii="Times New Roman" w:hAnsi="Times New Roman" w:cs="Times New Roman"/>
              </w:rPr>
              <w:t>polepší</w:t>
            </w:r>
            <w:proofErr w:type="gramEnd"/>
            <w:r w:rsidRPr="002535F2">
              <w:rPr>
                <w:rFonts w:ascii="Times New Roman" w:hAnsi="Times New Roman" w:cs="Times New Roman"/>
              </w:rPr>
              <w:t xml:space="preserve"> pouze cca 30 000 důchodců, ostatní na valorizaci výrazně prodělají</w:t>
            </w:r>
          </w:p>
          <w:p w14:paraId="2522D8BF" w14:textId="77777777" w:rsidR="002535F2" w:rsidRPr="002535F2" w:rsidRDefault="002535F2" w:rsidP="00D95B3F">
            <w:pPr>
              <w:pStyle w:val="Bezmezer"/>
              <w:numPr>
                <w:ilvl w:val="0"/>
                <w:numId w:val="33"/>
              </w:numPr>
              <w:ind w:left="268" w:hanging="142"/>
              <w:jc w:val="both"/>
              <w:rPr>
                <w:rFonts w:ascii="Times New Roman" w:hAnsi="Times New Roman" w:cs="Times New Roman"/>
              </w:rPr>
            </w:pPr>
            <w:r w:rsidRPr="002535F2">
              <w:rPr>
                <w:rFonts w:ascii="Times New Roman" w:hAnsi="Times New Roman" w:cs="Times New Roman"/>
              </w:rPr>
              <w:t>Uměli bychom si například představit model, kde by hranicí byl průměrný důchod a změnou by byli podpořeni ti pod ním. Dovedeme si představit i model, že by pracovala s průměrným důchodem k 1.1. 2022 tedy před mimořádnými valorizacemi. Počet seniorů, kterým by se takto pomohlo, by byl v případě loňské průměrné penze asi 580 000 osob</w:t>
            </w:r>
          </w:p>
          <w:p w14:paraId="44E1DC2C" w14:textId="77777777" w:rsidR="002535F2" w:rsidRPr="002535F2" w:rsidRDefault="002535F2" w:rsidP="00D95B3F">
            <w:pPr>
              <w:pStyle w:val="Bezmezer"/>
              <w:numPr>
                <w:ilvl w:val="0"/>
                <w:numId w:val="33"/>
              </w:numPr>
              <w:ind w:left="268" w:hanging="142"/>
              <w:jc w:val="both"/>
              <w:rPr>
                <w:rFonts w:ascii="Times New Roman" w:hAnsi="Times New Roman" w:cs="Times New Roman"/>
              </w:rPr>
            </w:pPr>
            <w:r w:rsidRPr="002535F2">
              <w:rPr>
                <w:rFonts w:ascii="Times New Roman" w:hAnsi="Times New Roman" w:cs="Times New Roman"/>
              </w:rPr>
              <w:t>Umíme si představit, že by se řídila daty ČSÚ a hranicí příjmové chudoby. Ta byla v roce 2021 14 055 Kč, až budou kompletní data za rok 2022, dá se předpokládat, že se hranice posune. Ale i pokud by vláda pracovala alespoň s touto částkou, mělo by to svou logiku a byli bychom byli ochotni o takovém kompromisu diskutovat. Počet seniorů, kterým by se takto pomohlo, by byl z dat o příjmové chudobě by to bylo kolem 300 000 osob.</w:t>
            </w:r>
          </w:p>
          <w:p w14:paraId="3B180488" w14:textId="4DB53319" w:rsidR="002F0C94" w:rsidRPr="002535F2" w:rsidRDefault="002535F2" w:rsidP="00897AD1">
            <w:pPr>
              <w:pStyle w:val="Bezmezer"/>
              <w:rPr>
                <w:rFonts w:ascii="Times New Roman" w:hAnsi="Times New Roman" w:cs="Times New Roman"/>
                <w:b/>
                <w:bCs/>
                <w:u w:val="single"/>
              </w:rPr>
            </w:pPr>
            <w:r w:rsidRPr="002535F2">
              <w:rPr>
                <w:rFonts w:ascii="Times New Roman" w:hAnsi="Times New Roman" w:cs="Times New Roman"/>
                <w:b/>
                <w:bCs/>
                <w:u w:val="single"/>
              </w:rPr>
              <w:t>Zásadní připomínky</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260684C0" w14:textId="77777777" w:rsidR="001F1E81" w:rsidRPr="00044AC0" w:rsidRDefault="00411A3C" w:rsidP="001F1E81">
            <w:pPr>
              <w:pStyle w:val="Bezmezer"/>
              <w:jc w:val="both"/>
              <w:rPr>
                <w:rFonts w:ascii="Times New Roman" w:hAnsi="Times New Roman" w:cs="Times New Roman"/>
                <w:b/>
                <w:bCs/>
                <w:u w:val="single"/>
              </w:rPr>
            </w:pPr>
            <w:r>
              <w:rPr>
                <w:rFonts w:ascii="Times New Roman" w:hAnsi="Times New Roman" w:cs="Times New Roman"/>
              </w:rPr>
              <w:lastRenderedPageBreak/>
              <w:t xml:space="preserve"> </w:t>
            </w:r>
            <w:r w:rsidR="001F1E81" w:rsidRPr="00044AC0">
              <w:rPr>
                <w:rFonts w:ascii="Times New Roman" w:hAnsi="Times New Roman" w:cs="Times New Roman"/>
                <w:b/>
                <w:bCs/>
                <w:u w:val="single"/>
              </w:rPr>
              <w:t>Neakceptováno.</w:t>
            </w:r>
          </w:p>
          <w:p w14:paraId="692F15B4" w14:textId="77777777" w:rsidR="00411A3C" w:rsidRDefault="00411A3C" w:rsidP="00193384">
            <w:pPr>
              <w:pStyle w:val="Bezmezer"/>
              <w:jc w:val="both"/>
              <w:rPr>
                <w:rFonts w:ascii="Times New Roman" w:hAnsi="Times New Roman" w:cs="Times New Roman"/>
              </w:rPr>
            </w:pPr>
          </w:p>
          <w:p w14:paraId="2372B28B" w14:textId="262DEA49" w:rsidR="001F1E81" w:rsidRPr="00193384" w:rsidRDefault="001F1E81" w:rsidP="00193384">
            <w:pPr>
              <w:pStyle w:val="Bezmezer"/>
              <w:jc w:val="both"/>
              <w:rPr>
                <w:rFonts w:ascii="Times New Roman" w:hAnsi="Times New Roman" w:cs="Times New Roman"/>
              </w:rPr>
            </w:pPr>
            <w:r>
              <w:rPr>
                <w:rFonts w:ascii="Times New Roman" w:hAnsi="Times New Roman" w:cs="Times New Roman"/>
              </w:rPr>
              <w:t>- viz stanovisko u předchozí připomí</w:t>
            </w:r>
            <w:r w:rsidR="002F7554">
              <w:rPr>
                <w:rFonts w:ascii="Times New Roman" w:hAnsi="Times New Roman" w:cs="Times New Roman"/>
              </w:rPr>
              <w:t>n</w:t>
            </w:r>
            <w:r>
              <w:rPr>
                <w:rFonts w:ascii="Times New Roman" w:hAnsi="Times New Roman" w:cs="Times New Roman"/>
              </w:rPr>
              <w:t>ky</w:t>
            </w:r>
          </w:p>
        </w:tc>
      </w:tr>
      <w:tr w:rsidR="002F0C94" w:rsidRPr="00193384" w14:paraId="762658A0" w14:textId="77777777" w:rsidTr="007F118F">
        <w:trPr>
          <w:trHeight w:val="254"/>
        </w:trPr>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55CDB87" w14:textId="2AFDDEA8" w:rsidR="002F0C94" w:rsidRPr="00841ABE" w:rsidRDefault="00AA7FFE" w:rsidP="00081217">
            <w:pPr>
              <w:pStyle w:val="Bezmezer"/>
              <w:rPr>
                <w:rFonts w:ascii="Times New Roman" w:hAnsi="Times New Roman" w:cs="Times New Roman"/>
                <w:b/>
                <w:bCs/>
              </w:rPr>
            </w:pPr>
            <w:r>
              <w:rPr>
                <w:rFonts w:ascii="Times New Roman" w:hAnsi="Times New Roman" w:cs="Times New Roman"/>
                <w:b/>
                <w:bCs/>
              </w:rPr>
              <w:t xml:space="preserve">Národní rada osob se zdravotním postižením </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tcPr>
          <w:p w14:paraId="165EA8C2" w14:textId="09FCE7DF" w:rsidR="002F0C94" w:rsidRPr="00193384" w:rsidRDefault="002A5760" w:rsidP="00081217">
            <w:pPr>
              <w:pStyle w:val="Bezmezer"/>
              <w:rPr>
                <w:rFonts w:ascii="Times New Roman" w:hAnsi="Times New Roman" w:cs="Times New Roman"/>
              </w:rPr>
            </w:pPr>
            <w:r>
              <w:rPr>
                <w:rFonts w:ascii="Times New Roman" w:hAnsi="Times New Roman" w:cs="Times New Roman"/>
              </w:rPr>
              <w:t>O</w:t>
            </w:r>
            <w:r w:rsidR="00AA7FFE">
              <w:rPr>
                <w:rFonts w:ascii="Times New Roman" w:hAnsi="Times New Roman" w:cs="Times New Roman"/>
              </w:rPr>
              <w:t>becně</w:t>
            </w:r>
          </w:p>
        </w:tc>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tcPr>
          <w:p w14:paraId="0BEC230F" w14:textId="207D44AA" w:rsidR="002F0C94" w:rsidRDefault="00AA7FFE" w:rsidP="00081217">
            <w:pPr>
              <w:pStyle w:val="Bezmezer"/>
              <w:jc w:val="both"/>
              <w:rPr>
                <w:rFonts w:ascii="Times New Roman" w:hAnsi="Times New Roman" w:cs="Times New Roman"/>
              </w:rPr>
            </w:pPr>
            <w:r w:rsidRPr="00AA7FFE">
              <w:rPr>
                <w:rFonts w:ascii="Times New Roman" w:hAnsi="Times New Roman" w:cs="Times New Roman"/>
              </w:rPr>
              <w:t>NRZP ČR zásadně nesouhlasí se změnou valorizačního mechanismu valorizace důchodů, tak jak je navrhován v novele zákona č. 155/1995 Sb., o důchodovém pojištění v pozdějším znění. Argument předkladatele zákona, že valorizace důchodů je příliš náročná pro veřejné rozpočty, a že všichni se musíme podílet na úsporném programu vlády, neobstojí ve světle skutečných statistických údajů. Dle statistické ročenky ČSÚ za rok 2021 je zcela zřejmé, že zatížení veřejných rozpočtů důchodovým systémem není tak vysoké, jak je prezentováno vládou. V tabulce, přetištěné z ročenky ČSÚ za rok 2021, je zřejmé, že v roce 2021 bylo zatížení veřejných rozpočtů výplatou důchodů, ve srovnání s předchozími roky, podstatně nižší.</w:t>
            </w:r>
          </w:p>
          <w:p w14:paraId="76C2FB06" w14:textId="77777777" w:rsidR="00AA7FFE" w:rsidRDefault="00AA7FFE" w:rsidP="00081217">
            <w:pPr>
              <w:pStyle w:val="Bezmezer"/>
              <w:jc w:val="both"/>
              <w:rPr>
                <w:rFonts w:ascii="Times New Roman" w:hAnsi="Times New Roman" w:cs="Times New Roman"/>
              </w:rPr>
            </w:pPr>
          </w:p>
          <w:p w14:paraId="443220C8" w14:textId="2D8DA16B" w:rsidR="00AA7FFE" w:rsidRDefault="00AA7FFE" w:rsidP="00081217">
            <w:pPr>
              <w:pStyle w:val="Bezmezer"/>
              <w:jc w:val="both"/>
              <w:rPr>
                <w:rFonts w:ascii="Times New Roman" w:hAnsi="Times New Roman" w:cs="Times New Roman"/>
                <w:noProof/>
              </w:rPr>
            </w:pPr>
            <w:r>
              <w:rPr>
                <w:rFonts w:ascii="Times New Roman" w:hAnsi="Times New Roman" w:cs="Times New Roman"/>
                <w:noProof/>
              </w:rPr>
              <w:lastRenderedPageBreak/>
              <w:drawing>
                <wp:inline distT="0" distB="0" distL="0" distR="0" wp14:anchorId="35155728" wp14:editId="3F07B2B0">
                  <wp:extent cx="3752587" cy="2634133"/>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5167" r="1803"/>
                          <a:stretch/>
                        </pic:blipFill>
                        <pic:spPr bwMode="auto">
                          <a:xfrm>
                            <a:off x="0" y="0"/>
                            <a:ext cx="3769859" cy="2646257"/>
                          </a:xfrm>
                          <a:prstGeom prst="rect">
                            <a:avLst/>
                          </a:prstGeom>
                          <a:noFill/>
                          <a:ln>
                            <a:noFill/>
                          </a:ln>
                          <a:extLst>
                            <a:ext uri="{53640926-AAD7-44D8-BBD7-CCE9431645EC}">
                              <a14:shadowObscured xmlns:a14="http://schemas.microsoft.com/office/drawing/2010/main"/>
                            </a:ext>
                          </a:extLst>
                        </pic:spPr>
                      </pic:pic>
                    </a:graphicData>
                  </a:graphic>
                </wp:inline>
              </w:drawing>
            </w:r>
          </w:p>
          <w:p w14:paraId="439B6F60" w14:textId="77777777" w:rsidR="00AA7FFE" w:rsidRDefault="00AA7FFE" w:rsidP="00081217">
            <w:pPr>
              <w:pStyle w:val="Bezmezer"/>
              <w:jc w:val="both"/>
              <w:rPr>
                <w:rFonts w:ascii="Times New Roman" w:hAnsi="Times New Roman" w:cs="Times New Roman"/>
                <w:noProof/>
              </w:rPr>
            </w:pPr>
          </w:p>
          <w:p w14:paraId="7C6C64CD" w14:textId="77777777" w:rsidR="00AA7FFE" w:rsidRPr="00AA7FFE" w:rsidRDefault="00AA7FFE" w:rsidP="00AA7FFE">
            <w:pPr>
              <w:pStyle w:val="Bezmezer"/>
              <w:jc w:val="both"/>
              <w:rPr>
                <w:rFonts w:ascii="Times New Roman" w:hAnsi="Times New Roman" w:cs="Times New Roman"/>
                <w:noProof/>
              </w:rPr>
            </w:pPr>
            <w:r w:rsidRPr="00AA7FFE">
              <w:rPr>
                <w:rFonts w:ascii="Times New Roman" w:hAnsi="Times New Roman" w:cs="Times New Roman"/>
                <w:noProof/>
              </w:rPr>
              <w:t xml:space="preserve">Je pravděpodobné, že v roce 2022, vlivem několikanásobné valorizace, pravděpodobně došlo k vyššímu procentuálnímu zatížení veřejných rozpočtů, ale určitě nedosahuje hodnot v předchozích letech. Proto nevidíme důvod k tomuto kroku. </w:t>
            </w:r>
          </w:p>
          <w:p w14:paraId="6563FC44" w14:textId="77777777" w:rsidR="00AA7FFE" w:rsidRPr="00AA7FFE" w:rsidRDefault="00AA7FFE" w:rsidP="00AA7FFE">
            <w:pPr>
              <w:pStyle w:val="Bezmezer"/>
              <w:jc w:val="both"/>
              <w:rPr>
                <w:rFonts w:ascii="Times New Roman" w:hAnsi="Times New Roman" w:cs="Times New Roman"/>
                <w:noProof/>
              </w:rPr>
            </w:pPr>
            <w:r w:rsidRPr="00AA7FFE">
              <w:rPr>
                <w:rFonts w:ascii="Times New Roman" w:hAnsi="Times New Roman" w:cs="Times New Roman"/>
                <w:noProof/>
              </w:rPr>
              <w:t xml:space="preserve">NRZP ČR upozorňuje na problém invalidních důchodů, které jsou i ve 3. stupni výrazně nižší, než je průměrná výše důchodů. V roce 2021 činil tento rozdíl téměř tři tisíce korun. V souvislosti s valorizacemi v roce 2022 došlo k dalšímu rozevření nůžek mezi průměrnými důchody a invalidními důchody. Z toho důvodu nemůže NRZP ČR v žádném případě souhlasit s navrženou změnou valorizačního mechanismu. Argument, že zvýšení nižších důchodů o pevnou částku bude pokrývat procentuální růst inflace je falešným argumentem, protože nominální výše důchodu je, vzhledem k cenové hladině základního zboží, zcela nedostatečná. NRZP ČR proto navrhuje, aby u invalidních důchodů byl zachován valorizační mechanismus, který zvyšuje důchody o 11,5 %, tak jako je navrženo </w:t>
            </w:r>
            <w:r w:rsidRPr="00AA7FFE">
              <w:rPr>
                <w:rFonts w:ascii="Times New Roman" w:hAnsi="Times New Roman" w:cs="Times New Roman"/>
                <w:noProof/>
              </w:rPr>
              <w:lastRenderedPageBreak/>
              <w:t xml:space="preserve">v § 8a zákona č. 198/1993 Sb., o protiprávnosti komunistického režimu a odporu proti němu a dále v Článku III. zákona č. 357/2005 Sb., o ocenění účastníku národní boje za vznik a osvobození Československa a některých pozůstalých po nich. Navrhujeme, aby § 67ca v odst. 1) písmeno a) zákona č. 155/1955 Sb., o důchodovém pojištění byl na konci věty doplněn o slova „to se netýká invalidních důchodů v 1., 2. a 3. stupni“. </w:t>
            </w:r>
          </w:p>
          <w:p w14:paraId="47D196D7" w14:textId="19CA4EA8" w:rsidR="00AA7FFE" w:rsidRDefault="00AA7FFE" w:rsidP="00AA7FFE">
            <w:pPr>
              <w:pStyle w:val="Bezmezer"/>
              <w:jc w:val="both"/>
              <w:rPr>
                <w:rFonts w:ascii="Times New Roman" w:hAnsi="Times New Roman" w:cs="Times New Roman"/>
                <w:noProof/>
              </w:rPr>
            </w:pPr>
            <w:r w:rsidRPr="00AA7FFE">
              <w:rPr>
                <w:rFonts w:ascii="Times New Roman" w:hAnsi="Times New Roman" w:cs="Times New Roman"/>
                <w:noProof/>
              </w:rPr>
              <w:t>NRZP ČR dále upozorňuje, že MPSV ČR poskytlo na připomínkové řízení pouze jeden den, což je porušení pravidel pro připomínkování zákonů. Takové zmocnění na zkrácení lhůty pro připomínky MPSV ČR nemá.</w:t>
            </w:r>
          </w:p>
          <w:p w14:paraId="01383C5B" w14:textId="6F25CD30" w:rsidR="00571FF7" w:rsidRDefault="00571FF7" w:rsidP="00AA7FFE">
            <w:pPr>
              <w:pStyle w:val="Bezmezer"/>
              <w:jc w:val="both"/>
              <w:rPr>
                <w:rFonts w:ascii="Times New Roman" w:hAnsi="Times New Roman" w:cs="Times New Roman"/>
                <w:noProof/>
              </w:rPr>
            </w:pPr>
          </w:p>
          <w:p w14:paraId="183D9151" w14:textId="0874358D" w:rsidR="00032B12" w:rsidRPr="00032B12" w:rsidRDefault="00032B12" w:rsidP="00AA7FFE">
            <w:pPr>
              <w:pStyle w:val="Bezmezer"/>
              <w:jc w:val="both"/>
              <w:rPr>
                <w:rFonts w:ascii="Times New Roman" w:hAnsi="Times New Roman" w:cs="Times New Roman"/>
                <w:noProof/>
                <w:u w:val="single"/>
              </w:rPr>
            </w:pPr>
            <w:r w:rsidRPr="00032B12">
              <w:rPr>
                <w:rFonts w:ascii="Times New Roman" w:hAnsi="Times New Roman" w:cs="Times New Roman"/>
                <w:noProof/>
                <w:u w:val="single"/>
              </w:rPr>
              <w:t>Konkrétní zásadní připomínka:</w:t>
            </w:r>
          </w:p>
          <w:p w14:paraId="517F6A3E" w14:textId="77777777" w:rsidR="003B630C" w:rsidRDefault="003B630C" w:rsidP="003B630C">
            <w:pPr>
              <w:pStyle w:val="Bezmezer"/>
              <w:rPr>
                <w:rFonts w:ascii="Times New Roman" w:hAnsi="Times New Roman" w:cs="Times New Roman"/>
              </w:rPr>
            </w:pPr>
            <w:r w:rsidRPr="002A5760">
              <w:rPr>
                <w:rFonts w:ascii="Times New Roman" w:hAnsi="Times New Roman" w:cs="Times New Roman"/>
              </w:rPr>
              <w:t>V § 67ca, odst. 1) písmeno a) se nakonec věty přidávají slova „to se netýká invalidních důchodů v 1., 2. a 3. stupni“.</w:t>
            </w:r>
          </w:p>
          <w:p w14:paraId="773D49EF" w14:textId="77777777" w:rsidR="003B630C" w:rsidRPr="00AA7FFE" w:rsidRDefault="003B630C" w:rsidP="00AA7FFE">
            <w:pPr>
              <w:pStyle w:val="Bezmezer"/>
              <w:jc w:val="both"/>
              <w:rPr>
                <w:rFonts w:ascii="Times New Roman" w:hAnsi="Times New Roman" w:cs="Times New Roman"/>
                <w:noProof/>
              </w:rPr>
            </w:pPr>
          </w:p>
          <w:p w14:paraId="487CD55F" w14:textId="5E967D4B" w:rsidR="00AA7FFE" w:rsidRPr="00C83BD1" w:rsidRDefault="00571FF7" w:rsidP="00081217">
            <w:pPr>
              <w:pStyle w:val="Bezmezer"/>
              <w:jc w:val="both"/>
              <w:rPr>
                <w:rFonts w:ascii="Times New Roman" w:hAnsi="Times New Roman" w:cs="Times New Roman"/>
              </w:rPr>
            </w:pPr>
            <w:r w:rsidRPr="00571FF7">
              <w:rPr>
                <w:rFonts w:ascii="Times New Roman" w:hAnsi="Times New Roman" w:cs="Times New Roman"/>
                <w:b/>
                <w:bCs/>
                <w:u w:val="single"/>
              </w:rPr>
              <w:t>Zásadní připomínk</w:t>
            </w:r>
            <w:r w:rsidR="003B630C">
              <w:rPr>
                <w:rFonts w:ascii="Times New Roman" w:hAnsi="Times New Roman" w:cs="Times New Roman"/>
                <w:b/>
                <w:bCs/>
                <w:u w:val="single"/>
              </w:rPr>
              <w:t>y</w:t>
            </w: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41F3B717" w14:textId="77777777" w:rsidR="00E11EE2" w:rsidRPr="00E11EE2" w:rsidRDefault="00E11EE2" w:rsidP="00E11EE2">
            <w:pPr>
              <w:pStyle w:val="Bezmezer"/>
              <w:jc w:val="both"/>
              <w:rPr>
                <w:rFonts w:ascii="Times New Roman" w:hAnsi="Times New Roman" w:cs="Times New Roman"/>
                <w:b/>
                <w:bCs/>
              </w:rPr>
            </w:pPr>
            <w:r w:rsidRPr="00E11EE2">
              <w:rPr>
                <w:rFonts w:ascii="Times New Roman" w:hAnsi="Times New Roman" w:cs="Times New Roman"/>
                <w:b/>
                <w:bCs/>
              </w:rPr>
              <w:lastRenderedPageBreak/>
              <w:t xml:space="preserve">Neakceptováno. </w:t>
            </w:r>
          </w:p>
          <w:p w14:paraId="18B27260" w14:textId="77777777" w:rsidR="00E11EE2" w:rsidRDefault="00E11EE2" w:rsidP="00E11EE2">
            <w:pPr>
              <w:pStyle w:val="Bezmezer"/>
              <w:jc w:val="both"/>
              <w:rPr>
                <w:rFonts w:ascii="Times New Roman" w:hAnsi="Times New Roman" w:cs="Times New Roman"/>
              </w:rPr>
            </w:pPr>
          </w:p>
          <w:p w14:paraId="4238241E" w14:textId="3DC3B98F" w:rsidR="00E11EE2" w:rsidRPr="00E11EE2" w:rsidRDefault="00E11EE2" w:rsidP="00E11EE2">
            <w:pPr>
              <w:pStyle w:val="Bezmezer"/>
              <w:jc w:val="both"/>
              <w:rPr>
                <w:rFonts w:ascii="Times New Roman" w:hAnsi="Times New Roman" w:cs="Times New Roman"/>
              </w:rPr>
            </w:pPr>
            <w:r w:rsidRPr="00E11EE2">
              <w:rPr>
                <w:rFonts w:ascii="Times New Roman" w:hAnsi="Times New Roman" w:cs="Times New Roman"/>
              </w:rPr>
              <w:t xml:space="preserve">Uvědomujeme si, že průměrný invalidní důchod pro invaliditu třetího stupně je nižší než průměrný samostatně vyplácený starobní důchod, nicméně v posledních 14 měsících došlo k výraznému nárůstu všech důchodů a náhradový poměr k průměrné mzdě vzrostl ze zhruba 40 % na více jak 47 %. Návrh specificky chrání příjemce nejnižších důchodů. U těchto důchodů se navrhuje proporcionálně vyšší zvýšení, což se zajišťuje pevnou částkou 400 Kč. U těchto důchodů je růst cen kompenzován v plném rozsahu. </w:t>
            </w:r>
          </w:p>
          <w:p w14:paraId="7ECE5C66" w14:textId="77777777" w:rsidR="00E11EE2" w:rsidRPr="00E11EE2" w:rsidRDefault="00E11EE2" w:rsidP="00E11EE2">
            <w:pPr>
              <w:pStyle w:val="Bezmezer"/>
              <w:jc w:val="both"/>
              <w:rPr>
                <w:rFonts w:ascii="Times New Roman" w:hAnsi="Times New Roman" w:cs="Times New Roman"/>
              </w:rPr>
            </w:pPr>
          </w:p>
          <w:p w14:paraId="78126E82" w14:textId="4DBBBC86" w:rsidR="002F0C94" w:rsidRPr="00193384" w:rsidRDefault="00E11EE2" w:rsidP="00E11EE2">
            <w:pPr>
              <w:pStyle w:val="Bezmezer"/>
              <w:jc w:val="both"/>
              <w:rPr>
                <w:rFonts w:ascii="Times New Roman" w:hAnsi="Times New Roman" w:cs="Times New Roman"/>
              </w:rPr>
            </w:pPr>
            <w:r w:rsidRPr="00E11EE2">
              <w:rPr>
                <w:rFonts w:ascii="Times New Roman" w:hAnsi="Times New Roman" w:cs="Times New Roman"/>
              </w:rPr>
              <w:t xml:space="preserve">Bilance příjmů z pojistného a výdajů na důchody se v posledním období prudce zhoršuje. V uváděném roce </w:t>
            </w:r>
            <w:r w:rsidRPr="00E11EE2">
              <w:rPr>
                <w:rFonts w:ascii="Times New Roman" w:hAnsi="Times New Roman" w:cs="Times New Roman"/>
              </w:rPr>
              <w:lastRenderedPageBreak/>
              <w:t>2021 s relativně nižšími výdaji na důchody v poměru k HDP byl vykázán přebytek na úrovni cca 4,5 mld. Kč, nicméně v roce 2022 již deficit na úrovni 17,5 mld. Kč a v roce 2023 je očekávaný deficit i bez dopadů zvýšení v mimořádném termínu výrazně přes 50 mld. Kč, s valorizací dle vládního návrhu na úrovni 70 mld. Kč. Je tedy zřejmé, že dochází k výrazné disproporci mezi příjmovou (tj. příjmy výdělečně činných osob) a výdajovou (tj. příjmy poživatelů důchodů) stranou důchodového účtu.</w:t>
            </w:r>
          </w:p>
        </w:tc>
      </w:tr>
    </w:tbl>
    <w:p w14:paraId="6EA2ACE2" w14:textId="0409F210" w:rsidR="00D95B3F" w:rsidRDefault="00D95B3F" w:rsidP="00D95B3F">
      <w:pPr>
        <w:pStyle w:val="Bezmezer"/>
      </w:pPr>
    </w:p>
    <w:p w14:paraId="0C97F5BB" w14:textId="3CBAB6F7" w:rsidR="00AE792A" w:rsidRDefault="00AE792A" w:rsidP="00D95B3F">
      <w:pPr>
        <w:pStyle w:val="Bezmezer"/>
      </w:pPr>
    </w:p>
    <w:p w14:paraId="6209E5C3" w14:textId="30C06759" w:rsidR="00AE792A" w:rsidRDefault="00AE792A" w:rsidP="00D95B3F">
      <w:pPr>
        <w:pStyle w:val="Bezmezer"/>
      </w:pPr>
    </w:p>
    <w:p w14:paraId="60497E52" w14:textId="7E800A71" w:rsidR="00AE792A" w:rsidRDefault="00AE792A" w:rsidP="00D95B3F">
      <w:pPr>
        <w:pStyle w:val="Bezmezer"/>
      </w:pPr>
    </w:p>
    <w:p w14:paraId="111D9E85" w14:textId="38570565" w:rsidR="00AE792A" w:rsidRDefault="00AE792A" w:rsidP="00D95B3F">
      <w:pPr>
        <w:pStyle w:val="Bezmezer"/>
      </w:pPr>
    </w:p>
    <w:p w14:paraId="7D76CC8E" w14:textId="51924DC2" w:rsidR="00AE792A" w:rsidRDefault="00AE792A" w:rsidP="00D95B3F">
      <w:pPr>
        <w:pStyle w:val="Bezmezer"/>
      </w:pPr>
    </w:p>
    <w:p w14:paraId="74BDF426" w14:textId="364C4C7E" w:rsidR="00AE792A" w:rsidRDefault="00AE792A" w:rsidP="00D95B3F">
      <w:pPr>
        <w:pStyle w:val="Bezmezer"/>
      </w:pPr>
    </w:p>
    <w:p w14:paraId="281F4CD3" w14:textId="53D30654" w:rsidR="00AE792A" w:rsidRDefault="00AE792A" w:rsidP="00D95B3F">
      <w:pPr>
        <w:pStyle w:val="Bezmezer"/>
      </w:pPr>
    </w:p>
    <w:p w14:paraId="61A6AFE3" w14:textId="52B67C78" w:rsidR="00AE792A" w:rsidRDefault="00AE792A" w:rsidP="00D95B3F">
      <w:pPr>
        <w:pStyle w:val="Bezmezer"/>
      </w:pPr>
    </w:p>
    <w:p w14:paraId="3DD1DBBD" w14:textId="231028DD" w:rsidR="00AE792A" w:rsidRDefault="00AE792A" w:rsidP="00D95B3F">
      <w:pPr>
        <w:pStyle w:val="Bezmezer"/>
      </w:pPr>
    </w:p>
    <w:p w14:paraId="3DFC6C1E" w14:textId="17CC9FD4" w:rsidR="007773FA" w:rsidRDefault="007773FA" w:rsidP="00D95B3F">
      <w:pPr>
        <w:pStyle w:val="Bezmezer"/>
      </w:pPr>
    </w:p>
    <w:p w14:paraId="201C5532" w14:textId="79FD1615" w:rsidR="007773FA" w:rsidRDefault="007773FA" w:rsidP="00D95B3F">
      <w:pPr>
        <w:pStyle w:val="Bezmezer"/>
      </w:pPr>
    </w:p>
    <w:p w14:paraId="7D45294C" w14:textId="77777777" w:rsidR="007773FA" w:rsidRDefault="007773FA" w:rsidP="00D95B3F">
      <w:pPr>
        <w:pStyle w:val="Bezmezer"/>
      </w:pPr>
    </w:p>
    <w:p w14:paraId="72F71055" w14:textId="0B3A8B5D" w:rsidR="00AE792A" w:rsidRDefault="00AE792A" w:rsidP="00D95B3F">
      <w:pPr>
        <w:pStyle w:val="Bezmezer"/>
      </w:pPr>
    </w:p>
    <w:p w14:paraId="60011346" w14:textId="244D4FE1" w:rsidR="00AE792A" w:rsidRDefault="00AE792A" w:rsidP="00D95B3F">
      <w:pPr>
        <w:pStyle w:val="Bezmezer"/>
      </w:pPr>
    </w:p>
    <w:p w14:paraId="4A86BCE4" w14:textId="60D696ED" w:rsidR="00CD2E51" w:rsidRPr="00A412F4" w:rsidRDefault="00CD2E51" w:rsidP="00DD14BF">
      <w:pPr>
        <w:jc w:val="both"/>
        <w:rPr>
          <w:bCs/>
        </w:rPr>
      </w:pPr>
    </w:p>
    <w:sectPr w:rsidR="00CD2E51" w:rsidRPr="00A412F4" w:rsidSect="009E2AEC">
      <w:headerReference w:type="default" r:id="rId12"/>
      <w:footerReference w:type="default" r:id="rId13"/>
      <w:head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0589" w14:textId="77777777" w:rsidR="001300B4" w:rsidRDefault="001300B4">
      <w:pPr>
        <w:spacing w:after="0" w:line="240" w:lineRule="auto"/>
      </w:pPr>
      <w:r>
        <w:separator/>
      </w:r>
    </w:p>
  </w:endnote>
  <w:endnote w:type="continuationSeparator" w:id="0">
    <w:p w14:paraId="0E9E0D8C" w14:textId="77777777" w:rsidR="001300B4" w:rsidRDefault="0013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font217">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313916"/>
      <w:docPartObj>
        <w:docPartGallery w:val="Page Numbers (Bottom of Page)"/>
        <w:docPartUnique/>
      </w:docPartObj>
    </w:sdtPr>
    <w:sdtContent>
      <w:p w14:paraId="0DAD02F1" w14:textId="77777777" w:rsidR="00C434AD" w:rsidRDefault="00C434AD">
        <w:pPr>
          <w:pStyle w:val="Zpat"/>
          <w:jc w:val="center"/>
        </w:pPr>
        <w:r>
          <w:fldChar w:fldCharType="begin"/>
        </w:r>
        <w:r>
          <w:instrText>PAGE   \* MERGEFORMAT</w:instrText>
        </w:r>
        <w:r>
          <w:fldChar w:fldCharType="separate"/>
        </w:r>
        <w:r>
          <w:rPr>
            <w:noProof/>
          </w:rPr>
          <w:t>26</w:t>
        </w:r>
        <w:r>
          <w:fldChar w:fldCharType="end"/>
        </w:r>
      </w:p>
    </w:sdtContent>
  </w:sdt>
  <w:p w14:paraId="41569884" w14:textId="77777777" w:rsidR="00C434AD" w:rsidRDefault="00C434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98E0" w14:textId="77777777" w:rsidR="001300B4" w:rsidRDefault="001300B4">
      <w:pPr>
        <w:spacing w:after="0" w:line="240" w:lineRule="auto"/>
      </w:pPr>
      <w:r>
        <w:separator/>
      </w:r>
    </w:p>
  </w:footnote>
  <w:footnote w:type="continuationSeparator" w:id="0">
    <w:p w14:paraId="6B591A2B" w14:textId="77777777" w:rsidR="001300B4" w:rsidRDefault="001300B4">
      <w:pPr>
        <w:spacing w:after="0" w:line="240" w:lineRule="auto"/>
      </w:pPr>
      <w:r>
        <w:continuationSeparator/>
      </w:r>
    </w:p>
  </w:footnote>
  <w:footnote w:id="1">
    <w:p w14:paraId="14B2CDE5" w14:textId="77777777" w:rsidR="00AC7075" w:rsidRPr="00367BFE" w:rsidRDefault="00AC7075" w:rsidP="00AC7075">
      <w:pPr>
        <w:pStyle w:val="Textpoznpodarou"/>
        <w:jc w:val="both"/>
        <w:rPr>
          <w:rFonts w:ascii="Arial" w:hAnsi="Arial" w:cs="Arial"/>
          <w:sz w:val="16"/>
          <w:szCs w:val="16"/>
          <w:shd w:val="clear" w:color="auto" w:fill="FFFFFF"/>
        </w:rPr>
      </w:pPr>
      <w:r>
        <w:rPr>
          <w:rStyle w:val="Znakapoznpodarou"/>
        </w:rPr>
        <w:footnoteRef/>
      </w:r>
      <w:r>
        <w:t xml:space="preserve"> </w:t>
      </w:r>
      <w:r>
        <w:rPr>
          <w:rFonts w:ascii="Arial" w:hAnsi="Arial" w:cs="Arial"/>
          <w:sz w:val="16"/>
          <w:szCs w:val="16"/>
          <w:shd w:val="clear" w:color="auto" w:fill="FFFFFF"/>
        </w:rPr>
        <w:t>n</w:t>
      </w:r>
      <w:r w:rsidRPr="00367BFE">
        <w:rPr>
          <w:rFonts w:ascii="Arial" w:hAnsi="Arial" w:cs="Arial"/>
          <w:sz w:val="16"/>
          <w:szCs w:val="16"/>
          <w:shd w:val="clear" w:color="auto" w:fill="FFFFFF"/>
        </w:rPr>
        <w:t xml:space="preserve">apř. </w:t>
      </w:r>
      <w:r w:rsidRPr="00367BFE">
        <w:rPr>
          <w:rFonts w:ascii="Arial" w:hAnsi="Arial" w:cs="Arial"/>
          <w:sz w:val="16"/>
          <w:szCs w:val="16"/>
        </w:rPr>
        <w:t>Zpráva o České republice 2020 - průvodní dokument ke sdělení Komise Evropskému parlamentu, Evropské radě, Radě, Evropské centrální bance a Euroskupině Evropský semestr 2020: Posouzení pokroku ve strukturálních reformách a v předcházení a nápravě</w:t>
      </w:r>
      <w:r w:rsidRPr="00367BFE">
        <w:rPr>
          <w:rFonts w:ascii="Arial" w:hAnsi="Arial" w:cs="Arial"/>
          <w:shd w:val="clear" w:color="auto" w:fill="FFFFFF"/>
        </w:rPr>
        <w:t xml:space="preserve"> </w:t>
      </w:r>
      <w:r w:rsidRPr="00367BFE">
        <w:rPr>
          <w:rFonts w:ascii="Arial" w:hAnsi="Arial" w:cs="Arial"/>
          <w:sz w:val="16"/>
          <w:szCs w:val="16"/>
        </w:rPr>
        <w:t xml:space="preserve">makroekonomické nerovnováhy a výsledky hloubkových přezkumů strukturálních reforem podle nařízení (EU) č. 1176/2011 SWD/2020/502 </w:t>
      </w:r>
      <w:proofErr w:type="spellStart"/>
      <w:r w:rsidRPr="00367BFE">
        <w:rPr>
          <w:rFonts w:ascii="Arial" w:hAnsi="Arial" w:cs="Arial"/>
          <w:sz w:val="16"/>
          <w:szCs w:val="16"/>
        </w:rPr>
        <w:t>final</w:t>
      </w:r>
      <w:proofErr w:type="spellEnd"/>
      <w:r w:rsidRPr="00367BFE">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AA0F" w14:textId="0A05813B" w:rsidR="00C434AD" w:rsidRPr="009F1838" w:rsidRDefault="00C434AD" w:rsidP="002D12A2">
    <w:pPr>
      <w:pStyle w:val="Zhlav"/>
      <w:tabs>
        <w:tab w:val="center" w:pos="7002"/>
        <w:tab w:val="right" w:pos="14004"/>
      </w:tabs>
      <w:jc w:val="right"/>
      <w:rPr>
        <w:color w:val="FF0000"/>
      </w:rPr>
    </w:pPr>
    <w:r>
      <w:rPr>
        <w:rStyle w:val="xsptextcomputedfield"/>
        <w:b/>
        <w:bCs/>
      </w:rPr>
      <w:tab/>
    </w:r>
    <w:r>
      <w:rPr>
        <w:rStyle w:val="xsptextcomputedfield"/>
        <w:b/>
        <w:bCs/>
      </w:rPr>
      <w:tab/>
    </w:r>
    <w:r w:rsidR="00A13487" w:rsidRPr="00A13487">
      <w:rPr>
        <w:rStyle w:val="xsptextcomputedfield"/>
        <w:b/>
        <w:bCs/>
      </w:rPr>
      <w:t>MPSV-2023/36124-510</w:t>
    </w:r>
    <w:r w:rsidR="00A13487">
      <w:rPr>
        <w:rStyle w:val="xsptextcomputedfield"/>
        <w:b/>
        <w:bC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54B0" w14:textId="77777777" w:rsidR="00C434AD" w:rsidRDefault="00C434AD" w:rsidP="001B67FA">
    <w:pPr>
      <w:pStyle w:val="Zhlav"/>
      <w:jc w:val="right"/>
    </w:pPr>
    <w:r>
      <w:t>návrh vypořádání – porada 20. 1.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03F"/>
    <w:multiLevelType w:val="hybridMultilevel"/>
    <w:tmpl w:val="0B8EAE80"/>
    <w:lvl w:ilvl="0" w:tplc="3CCEFE78">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DF6872"/>
    <w:multiLevelType w:val="hybridMultilevel"/>
    <w:tmpl w:val="26223C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15:restartNumberingAfterBreak="0">
    <w:nsid w:val="047C3EDA"/>
    <w:multiLevelType w:val="hybridMultilevel"/>
    <w:tmpl w:val="F938A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B01725"/>
    <w:multiLevelType w:val="hybridMultilevel"/>
    <w:tmpl w:val="95B23B94"/>
    <w:lvl w:ilvl="0" w:tplc="22268F36">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 w15:restartNumberingAfterBreak="0">
    <w:nsid w:val="0DCA389C"/>
    <w:multiLevelType w:val="hybridMultilevel"/>
    <w:tmpl w:val="DA3CD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A71FCC"/>
    <w:multiLevelType w:val="hybridMultilevel"/>
    <w:tmpl w:val="76FC40D2"/>
    <w:lvl w:ilvl="0" w:tplc="1D161D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974726"/>
    <w:multiLevelType w:val="hybridMultilevel"/>
    <w:tmpl w:val="830E212C"/>
    <w:lvl w:ilvl="0" w:tplc="420E89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E82C89"/>
    <w:multiLevelType w:val="hybridMultilevel"/>
    <w:tmpl w:val="B5A0635A"/>
    <w:lvl w:ilvl="0" w:tplc="648E084C">
      <w:start w:val="1"/>
      <w:numFmt w:val="decimal"/>
      <w:lvlText w:val="%1)"/>
      <w:lvlJc w:val="left"/>
      <w:pPr>
        <w:ind w:left="360" w:hanging="360"/>
      </w:pPr>
      <w:rPr>
        <w:rFonts w:cstheme="minorBid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D662AF"/>
    <w:multiLevelType w:val="hybridMultilevel"/>
    <w:tmpl w:val="4D5AE4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C7DF0"/>
    <w:multiLevelType w:val="hybridMultilevel"/>
    <w:tmpl w:val="6262D1C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7742A64"/>
    <w:multiLevelType w:val="hybridMultilevel"/>
    <w:tmpl w:val="8CDC7596"/>
    <w:lvl w:ilvl="0" w:tplc="7E48305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8D0543D"/>
    <w:multiLevelType w:val="hybridMultilevel"/>
    <w:tmpl w:val="BE66EFC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AD66212"/>
    <w:multiLevelType w:val="hybridMultilevel"/>
    <w:tmpl w:val="510A3C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3478D"/>
    <w:multiLevelType w:val="hybridMultilevel"/>
    <w:tmpl w:val="230E3D62"/>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4" w15:restartNumberingAfterBreak="0">
    <w:nsid w:val="4070502A"/>
    <w:multiLevelType w:val="hybridMultilevel"/>
    <w:tmpl w:val="A3BCE282"/>
    <w:lvl w:ilvl="0" w:tplc="A5564998">
      <w:numFmt w:val="bullet"/>
      <w:lvlText w:val="-"/>
      <w:lvlJc w:val="left"/>
      <w:pPr>
        <w:ind w:left="19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510C9C"/>
    <w:multiLevelType w:val="hybridMultilevel"/>
    <w:tmpl w:val="368294D2"/>
    <w:lvl w:ilvl="0" w:tplc="7FBE35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912BC7"/>
    <w:multiLevelType w:val="hybridMultilevel"/>
    <w:tmpl w:val="0E180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6F011D"/>
    <w:multiLevelType w:val="hybridMultilevel"/>
    <w:tmpl w:val="42FC23DA"/>
    <w:lvl w:ilvl="0" w:tplc="FFFFFFFF">
      <w:start w:val="1"/>
      <w:numFmt w:val="decimal"/>
      <w:lvlText w:val="%1."/>
      <w:lvlJc w:val="left"/>
      <w:pPr>
        <w:ind w:left="50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E44101"/>
    <w:multiLevelType w:val="hybridMultilevel"/>
    <w:tmpl w:val="01A2E08E"/>
    <w:lvl w:ilvl="0" w:tplc="5BBA4B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2861BD8"/>
    <w:multiLevelType w:val="hybridMultilevel"/>
    <w:tmpl w:val="B9C2ED54"/>
    <w:lvl w:ilvl="0" w:tplc="A510014A">
      <w:start w:val="1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30C3A3F"/>
    <w:multiLevelType w:val="hybridMultilevel"/>
    <w:tmpl w:val="28C4408A"/>
    <w:lvl w:ilvl="0" w:tplc="4EACA2B2">
      <w:start w:val="1"/>
      <w:numFmt w:val="decimal"/>
      <w:lvlText w:val="%1."/>
      <w:lvlJc w:val="left"/>
      <w:pPr>
        <w:ind w:left="720" w:hanging="360"/>
      </w:pPr>
      <w:rPr>
        <w:rFonts w:ascii="Franklin Gothic Book" w:eastAsia="Times New Roman" w:hAnsi="Franklin Gothic Book"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0D655B"/>
    <w:multiLevelType w:val="hybridMultilevel"/>
    <w:tmpl w:val="42FC23DA"/>
    <w:lvl w:ilvl="0" w:tplc="DFF66200">
      <w:start w:val="1"/>
      <w:numFmt w:val="decimal"/>
      <w:lvlText w:val="%1."/>
      <w:lvlJc w:val="left"/>
      <w:pPr>
        <w:ind w:left="502"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DF028C"/>
    <w:multiLevelType w:val="hybridMultilevel"/>
    <w:tmpl w:val="4D029A4E"/>
    <w:lvl w:ilvl="0" w:tplc="2FEAB34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BE0F9C"/>
    <w:multiLevelType w:val="hybridMultilevel"/>
    <w:tmpl w:val="344A5E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61D62AC5"/>
    <w:multiLevelType w:val="hybridMultilevel"/>
    <w:tmpl w:val="21B8F2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34A5C94"/>
    <w:multiLevelType w:val="hybridMultilevel"/>
    <w:tmpl w:val="344A5E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64240910"/>
    <w:multiLevelType w:val="hybridMultilevel"/>
    <w:tmpl w:val="31F04A34"/>
    <w:lvl w:ilvl="0" w:tplc="1D161D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DD0A60"/>
    <w:multiLevelType w:val="hybridMultilevel"/>
    <w:tmpl w:val="D4A202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5EE3189"/>
    <w:multiLevelType w:val="multilevel"/>
    <w:tmpl w:val="6106B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68D6D42"/>
    <w:multiLevelType w:val="hybridMultilevel"/>
    <w:tmpl w:val="44DC1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2951D1"/>
    <w:multiLevelType w:val="hybridMultilevel"/>
    <w:tmpl w:val="946207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AB3370"/>
    <w:multiLevelType w:val="hybridMultilevel"/>
    <w:tmpl w:val="230E3D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2" w15:restartNumberingAfterBreak="0">
    <w:nsid w:val="68C46EA5"/>
    <w:multiLevelType w:val="hybridMultilevel"/>
    <w:tmpl w:val="03820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9777D3"/>
    <w:multiLevelType w:val="hybridMultilevel"/>
    <w:tmpl w:val="1AAA4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4D44DD"/>
    <w:multiLevelType w:val="hybridMultilevel"/>
    <w:tmpl w:val="072EC9BE"/>
    <w:lvl w:ilvl="0" w:tplc="2BBE703A">
      <w:start w:val="1"/>
      <w:numFmt w:val="bullet"/>
      <w:lvlText w:val="•"/>
      <w:lvlJc w:val="left"/>
      <w:pPr>
        <w:tabs>
          <w:tab w:val="num" w:pos="720"/>
        </w:tabs>
        <w:ind w:left="720" w:hanging="360"/>
      </w:pPr>
      <w:rPr>
        <w:rFonts w:ascii="Arial" w:hAnsi="Arial" w:hint="default"/>
      </w:rPr>
    </w:lvl>
    <w:lvl w:ilvl="1" w:tplc="C79A15D6" w:tentative="1">
      <w:start w:val="1"/>
      <w:numFmt w:val="bullet"/>
      <w:lvlText w:val="•"/>
      <w:lvlJc w:val="left"/>
      <w:pPr>
        <w:tabs>
          <w:tab w:val="num" w:pos="1440"/>
        </w:tabs>
        <w:ind w:left="1440" w:hanging="360"/>
      </w:pPr>
      <w:rPr>
        <w:rFonts w:ascii="Arial" w:hAnsi="Arial" w:hint="default"/>
      </w:rPr>
    </w:lvl>
    <w:lvl w:ilvl="2" w:tplc="10CA762C" w:tentative="1">
      <w:start w:val="1"/>
      <w:numFmt w:val="bullet"/>
      <w:lvlText w:val="•"/>
      <w:lvlJc w:val="left"/>
      <w:pPr>
        <w:tabs>
          <w:tab w:val="num" w:pos="2160"/>
        </w:tabs>
        <w:ind w:left="2160" w:hanging="360"/>
      </w:pPr>
      <w:rPr>
        <w:rFonts w:ascii="Arial" w:hAnsi="Arial" w:hint="default"/>
      </w:rPr>
    </w:lvl>
    <w:lvl w:ilvl="3" w:tplc="DD104876" w:tentative="1">
      <w:start w:val="1"/>
      <w:numFmt w:val="bullet"/>
      <w:lvlText w:val="•"/>
      <w:lvlJc w:val="left"/>
      <w:pPr>
        <w:tabs>
          <w:tab w:val="num" w:pos="2880"/>
        </w:tabs>
        <w:ind w:left="2880" w:hanging="360"/>
      </w:pPr>
      <w:rPr>
        <w:rFonts w:ascii="Arial" w:hAnsi="Arial" w:hint="default"/>
      </w:rPr>
    </w:lvl>
    <w:lvl w:ilvl="4" w:tplc="4EDA7A4C" w:tentative="1">
      <w:start w:val="1"/>
      <w:numFmt w:val="bullet"/>
      <w:lvlText w:val="•"/>
      <w:lvlJc w:val="left"/>
      <w:pPr>
        <w:tabs>
          <w:tab w:val="num" w:pos="3600"/>
        </w:tabs>
        <w:ind w:left="3600" w:hanging="360"/>
      </w:pPr>
      <w:rPr>
        <w:rFonts w:ascii="Arial" w:hAnsi="Arial" w:hint="default"/>
      </w:rPr>
    </w:lvl>
    <w:lvl w:ilvl="5" w:tplc="4E740B74" w:tentative="1">
      <w:start w:val="1"/>
      <w:numFmt w:val="bullet"/>
      <w:lvlText w:val="•"/>
      <w:lvlJc w:val="left"/>
      <w:pPr>
        <w:tabs>
          <w:tab w:val="num" w:pos="4320"/>
        </w:tabs>
        <w:ind w:left="4320" w:hanging="360"/>
      </w:pPr>
      <w:rPr>
        <w:rFonts w:ascii="Arial" w:hAnsi="Arial" w:hint="default"/>
      </w:rPr>
    </w:lvl>
    <w:lvl w:ilvl="6" w:tplc="B22848F2" w:tentative="1">
      <w:start w:val="1"/>
      <w:numFmt w:val="bullet"/>
      <w:lvlText w:val="•"/>
      <w:lvlJc w:val="left"/>
      <w:pPr>
        <w:tabs>
          <w:tab w:val="num" w:pos="5040"/>
        </w:tabs>
        <w:ind w:left="5040" w:hanging="360"/>
      </w:pPr>
      <w:rPr>
        <w:rFonts w:ascii="Arial" w:hAnsi="Arial" w:hint="default"/>
      </w:rPr>
    </w:lvl>
    <w:lvl w:ilvl="7" w:tplc="FB908992" w:tentative="1">
      <w:start w:val="1"/>
      <w:numFmt w:val="bullet"/>
      <w:lvlText w:val="•"/>
      <w:lvlJc w:val="left"/>
      <w:pPr>
        <w:tabs>
          <w:tab w:val="num" w:pos="5760"/>
        </w:tabs>
        <w:ind w:left="5760" w:hanging="360"/>
      </w:pPr>
      <w:rPr>
        <w:rFonts w:ascii="Arial" w:hAnsi="Arial" w:hint="default"/>
      </w:rPr>
    </w:lvl>
    <w:lvl w:ilvl="8" w:tplc="169243C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57555E"/>
    <w:multiLevelType w:val="hybridMultilevel"/>
    <w:tmpl w:val="5CF0F10E"/>
    <w:lvl w:ilvl="0" w:tplc="014869A2">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84484"/>
    <w:multiLevelType w:val="hybridMultilevel"/>
    <w:tmpl w:val="260E2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9217728">
    <w:abstractNumId w:val="30"/>
  </w:num>
  <w:num w:numId="2" w16cid:durableId="766002112">
    <w:abstractNumId w:val="33"/>
  </w:num>
  <w:num w:numId="3" w16cid:durableId="2067364952">
    <w:abstractNumId w:val="35"/>
  </w:num>
  <w:num w:numId="4" w16cid:durableId="455484895">
    <w:abstractNumId w:val="9"/>
  </w:num>
  <w:num w:numId="5" w16cid:durableId="191001017">
    <w:abstractNumId w:val="4"/>
  </w:num>
  <w:num w:numId="6" w16cid:durableId="980042507">
    <w:abstractNumId w:val="21"/>
  </w:num>
  <w:num w:numId="7" w16cid:durableId="4971862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8515986">
    <w:abstractNumId w:val="23"/>
  </w:num>
  <w:num w:numId="9" w16cid:durableId="1731265017">
    <w:abstractNumId w:val="0"/>
  </w:num>
  <w:num w:numId="10" w16cid:durableId="188297627">
    <w:abstractNumId w:val="12"/>
  </w:num>
  <w:num w:numId="11" w16cid:durableId="1125388868">
    <w:abstractNumId w:val="10"/>
  </w:num>
  <w:num w:numId="12" w16cid:durableId="701587186">
    <w:abstractNumId w:val="8"/>
  </w:num>
  <w:num w:numId="13" w16cid:durableId="711030862">
    <w:abstractNumId w:val="2"/>
  </w:num>
  <w:num w:numId="14" w16cid:durableId="540090748">
    <w:abstractNumId w:val="1"/>
  </w:num>
  <w:num w:numId="15" w16cid:durableId="991830962">
    <w:abstractNumId w:val="3"/>
  </w:num>
  <w:num w:numId="16" w16cid:durableId="682436850">
    <w:abstractNumId w:val="7"/>
  </w:num>
  <w:num w:numId="17" w16cid:durableId="2030065997">
    <w:abstractNumId w:val="20"/>
  </w:num>
  <w:num w:numId="18" w16cid:durableId="2058435601">
    <w:abstractNumId w:val="5"/>
  </w:num>
  <w:num w:numId="19" w16cid:durableId="984701966">
    <w:abstractNumId w:val="26"/>
  </w:num>
  <w:num w:numId="20" w16cid:durableId="582226459">
    <w:abstractNumId w:val="34"/>
  </w:num>
  <w:num w:numId="21" w16cid:durableId="1589147593">
    <w:abstractNumId w:val="29"/>
  </w:num>
  <w:num w:numId="22" w16cid:durableId="1206992502">
    <w:abstractNumId w:val="32"/>
  </w:num>
  <w:num w:numId="23" w16cid:durableId="1358003301">
    <w:abstractNumId w:val="36"/>
  </w:num>
  <w:num w:numId="24" w16cid:durableId="1961064549">
    <w:abstractNumId w:val="28"/>
  </w:num>
  <w:num w:numId="25" w16cid:durableId="1883905460">
    <w:abstractNumId w:val="18"/>
  </w:num>
  <w:num w:numId="26" w16cid:durableId="374159711">
    <w:abstractNumId w:val="16"/>
  </w:num>
  <w:num w:numId="27" w16cid:durableId="280234658">
    <w:abstractNumId w:val="22"/>
  </w:num>
  <w:num w:numId="28" w16cid:durableId="1216703826">
    <w:abstractNumId w:val="15"/>
  </w:num>
  <w:num w:numId="29" w16cid:durableId="1039160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471979">
    <w:abstractNumId w:val="24"/>
  </w:num>
  <w:num w:numId="31" w16cid:durableId="340205852">
    <w:abstractNumId w:val="11"/>
  </w:num>
  <w:num w:numId="32" w16cid:durableId="727647154">
    <w:abstractNumId w:val="17"/>
  </w:num>
  <w:num w:numId="33" w16cid:durableId="758255364">
    <w:abstractNumId w:val="6"/>
  </w:num>
  <w:num w:numId="34" w16cid:durableId="481890645">
    <w:abstractNumId w:val="31"/>
  </w:num>
  <w:num w:numId="35" w16cid:durableId="379014263">
    <w:abstractNumId w:val="13"/>
  </w:num>
  <w:num w:numId="36" w16cid:durableId="100686274">
    <w:abstractNumId w:val="14"/>
  </w:num>
  <w:num w:numId="37" w16cid:durableId="15245870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25"/>
    <w:rsid w:val="00002073"/>
    <w:rsid w:val="0000561D"/>
    <w:rsid w:val="00015748"/>
    <w:rsid w:val="00016830"/>
    <w:rsid w:val="00024420"/>
    <w:rsid w:val="0002607E"/>
    <w:rsid w:val="000276EE"/>
    <w:rsid w:val="00027C5A"/>
    <w:rsid w:val="000301F4"/>
    <w:rsid w:val="00031FF8"/>
    <w:rsid w:val="00032B12"/>
    <w:rsid w:val="00037B20"/>
    <w:rsid w:val="00043582"/>
    <w:rsid w:val="00043E80"/>
    <w:rsid w:val="00044AC0"/>
    <w:rsid w:val="00046C9C"/>
    <w:rsid w:val="00050407"/>
    <w:rsid w:val="00051962"/>
    <w:rsid w:val="000543D3"/>
    <w:rsid w:val="0006105B"/>
    <w:rsid w:val="000716CF"/>
    <w:rsid w:val="00071E0E"/>
    <w:rsid w:val="0007487A"/>
    <w:rsid w:val="00075F64"/>
    <w:rsid w:val="000769DF"/>
    <w:rsid w:val="00077D10"/>
    <w:rsid w:val="00081217"/>
    <w:rsid w:val="00087DC2"/>
    <w:rsid w:val="00092D2A"/>
    <w:rsid w:val="0009343A"/>
    <w:rsid w:val="0009589C"/>
    <w:rsid w:val="0009593C"/>
    <w:rsid w:val="000961A8"/>
    <w:rsid w:val="00097A6B"/>
    <w:rsid w:val="000A092E"/>
    <w:rsid w:val="000B1351"/>
    <w:rsid w:val="000B701A"/>
    <w:rsid w:val="000C2775"/>
    <w:rsid w:val="000C4009"/>
    <w:rsid w:val="000D1414"/>
    <w:rsid w:val="000D1BF1"/>
    <w:rsid w:val="000D410D"/>
    <w:rsid w:val="000D46A4"/>
    <w:rsid w:val="000D56B1"/>
    <w:rsid w:val="000D692D"/>
    <w:rsid w:val="000E68EA"/>
    <w:rsid w:val="000E7398"/>
    <w:rsid w:val="000F06A2"/>
    <w:rsid w:val="000F2091"/>
    <w:rsid w:val="000F3693"/>
    <w:rsid w:val="00100BDA"/>
    <w:rsid w:val="0010252B"/>
    <w:rsid w:val="001031B4"/>
    <w:rsid w:val="0010420A"/>
    <w:rsid w:val="00110646"/>
    <w:rsid w:val="00111F7C"/>
    <w:rsid w:val="00123738"/>
    <w:rsid w:val="00127BA9"/>
    <w:rsid w:val="001300B4"/>
    <w:rsid w:val="00130F1F"/>
    <w:rsid w:val="00131DDC"/>
    <w:rsid w:val="00132154"/>
    <w:rsid w:val="00135DD1"/>
    <w:rsid w:val="0014525E"/>
    <w:rsid w:val="00145B39"/>
    <w:rsid w:val="00146DBE"/>
    <w:rsid w:val="001537DD"/>
    <w:rsid w:val="00153BD4"/>
    <w:rsid w:val="00154E87"/>
    <w:rsid w:val="00164BE1"/>
    <w:rsid w:val="00165FA8"/>
    <w:rsid w:val="00170CF0"/>
    <w:rsid w:val="00170E79"/>
    <w:rsid w:val="0017367B"/>
    <w:rsid w:val="00173F96"/>
    <w:rsid w:val="00185556"/>
    <w:rsid w:val="0018613D"/>
    <w:rsid w:val="00193384"/>
    <w:rsid w:val="001A026B"/>
    <w:rsid w:val="001A240C"/>
    <w:rsid w:val="001B3280"/>
    <w:rsid w:val="001B5F30"/>
    <w:rsid w:val="001B67FA"/>
    <w:rsid w:val="001B7046"/>
    <w:rsid w:val="001C1FEB"/>
    <w:rsid w:val="001D00DB"/>
    <w:rsid w:val="001D10FE"/>
    <w:rsid w:val="001D1854"/>
    <w:rsid w:val="001E5343"/>
    <w:rsid w:val="001F030D"/>
    <w:rsid w:val="001F04E9"/>
    <w:rsid w:val="001F0ACC"/>
    <w:rsid w:val="001F1E81"/>
    <w:rsid w:val="001F2F68"/>
    <w:rsid w:val="001F314C"/>
    <w:rsid w:val="001F3172"/>
    <w:rsid w:val="001F5835"/>
    <w:rsid w:val="00201AE5"/>
    <w:rsid w:val="00201D55"/>
    <w:rsid w:val="00204FC9"/>
    <w:rsid w:val="00210783"/>
    <w:rsid w:val="00213424"/>
    <w:rsid w:val="00217BA4"/>
    <w:rsid w:val="00221A92"/>
    <w:rsid w:val="00224B41"/>
    <w:rsid w:val="00224CD3"/>
    <w:rsid w:val="00227A23"/>
    <w:rsid w:val="002311F2"/>
    <w:rsid w:val="0024169F"/>
    <w:rsid w:val="0024262D"/>
    <w:rsid w:val="00246E99"/>
    <w:rsid w:val="002535F2"/>
    <w:rsid w:val="00266949"/>
    <w:rsid w:val="00272836"/>
    <w:rsid w:val="00273759"/>
    <w:rsid w:val="0027476B"/>
    <w:rsid w:val="00277E8A"/>
    <w:rsid w:val="002833D9"/>
    <w:rsid w:val="00285311"/>
    <w:rsid w:val="0029417A"/>
    <w:rsid w:val="00297791"/>
    <w:rsid w:val="002A453B"/>
    <w:rsid w:val="002A473C"/>
    <w:rsid w:val="002A5760"/>
    <w:rsid w:val="002B3CE8"/>
    <w:rsid w:val="002B6CC1"/>
    <w:rsid w:val="002C4803"/>
    <w:rsid w:val="002C498C"/>
    <w:rsid w:val="002C5400"/>
    <w:rsid w:val="002C6366"/>
    <w:rsid w:val="002D0717"/>
    <w:rsid w:val="002D12A2"/>
    <w:rsid w:val="002D183A"/>
    <w:rsid w:val="002D190D"/>
    <w:rsid w:val="002D220B"/>
    <w:rsid w:val="002D3C0D"/>
    <w:rsid w:val="002D3FE8"/>
    <w:rsid w:val="002D529A"/>
    <w:rsid w:val="002D78A7"/>
    <w:rsid w:val="002E04D5"/>
    <w:rsid w:val="002E1B50"/>
    <w:rsid w:val="002E77F2"/>
    <w:rsid w:val="002F0C94"/>
    <w:rsid w:val="002F5625"/>
    <w:rsid w:val="002F7554"/>
    <w:rsid w:val="00300839"/>
    <w:rsid w:val="00300B23"/>
    <w:rsid w:val="00306E49"/>
    <w:rsid w:val="003100E1"/>
    <w:rsid w:val="003103B9"/>
    <w:rsid w:val="00310AAF"/>
    <w:rsid w:val="00313E79"/>
    <w:rsid w:val="00317B41"/>
    <w:rsid w:val="00320714"/>
    <w:rsid w:val="00320E83"/>
    <w:rsid w:val="00323513"/>
    <w:rsid w:val="00327BEE"/>
    <w:rsid w:val="00333C8C"/>
    <w:rsid w:val="00337342"/>
    <w:rsid w:val="003375E5"/>
    <w:rsid w:val="00342623"/>
    <w:rsid w:val="00346E12"/>
    <w:rsid w:val="003478AA"/>
    <w:rsid w:val="00350233"/>
    <w:rsid w:val="00356F70"/>
    <w:rsid w:val="00363CA7"/>
    <w:rsid w:val="00365F19"/>
    <w:rsid w:val="00366EBE"/>
    <w:rsid w:val="00370B79"/>
    <w:rsid w:val="003728A4"/>
    <w:rsid w:val="00373470"/>
    <w:rsid w:val="00377D8E"/>
    <w:rsid w:val="0038005D"/>
    <w:rsid w:val="003807C5"/>
    <w:rsid w:val="003830EE"/>
    <w:rsid w:val="003842EA"/>
    <w:rsid w:val="00393339"/>
    <w:rsid w:val="003A234B"/>
    <w:rsid w:val="003A273A"/>
    <w:rsid w:val="003A3A1A"/>
    <w:rsid w:val="003A3CCB"/>
    <w:rsid w:val="003B48EA"/>
    <w:rsid w:val="003B4A78"/>
    <w:rsid w:val="003B630C"/>
    <w:rsid w:val="003C7CCB"/>
    <w:rsid w:val="003D044D"/>
    <w:rsid w:val="003D58A4"/>
    <w:rsid w:val="003D6412"/>
    <w:rsid w:val="003E60F0"/>
    <w:rsid w:val="003E68A8"/>
    <w:rsid w:val="003E70E0"/>
    <w:rsid w:val="003E7B84"/>
    <w:rsid w:val="003F0973"/>
    <w:rsid w:val="003F1661"/>
    <w:rsid w:val="003F52D9"/>
    <w:rsid w:val="003F6063"/>
    <w:rsid w:val="0040065F"/>
    <w:rsid w:val="00401544"/>
    <w:rsid w:val="00403E1D"/>
    <w:rsid w:val="0040672E"/>
    <w:rsid w:val="00406949"/>
    <w:rsid w:val="00411A3C"/>
    <w:rsid w:val="0041338F"/>
    <w:rsid w:val="00415EE4"/>
    <w:rsid w:val="00417818"/>
    <w:rsid w:val="004206D1"/>
    <w:rsid w:val="00421024"/>
    <w:rsid w:val="004255C7"/>
    <w:rsid w:val="004301D0"/>
    <w:rsid w:val="0043161D"/>
    <w:rsid w:val="00440426"/>
    <w:rsid w:val="004417AF"/>
    <w:rsid w:val="0045038D"/>
    <w:rsid w:val="00452698"/>
    <w:rsid w:val="0045686D"/>
    <w:rsid w:val="00457ED0"/>
    <w:rsid w:val="00462847"/>
    <w:rsid w:val="0047293E"/>
    <w:rsid w:val="00477777"/>
    <w:rsid w:val="00484AED"/>
    <w:rsid w:val="00486F1F"/>
    <w:rsid w:val="00493557"/>
    <w:rsid w:val="00494EBA"/>
    <w:rsid w:val="00495946"/>
    <w:rsid w:val="004A02C9"/>
    <w:rsid w:val="004A0FC1"/>
    <w:rsid w:val="004A16A1"/>
    <w:rsid w:val="004A3267"/>
    <w:rsid w:val="004A3AA1"/>
    <w:rsid w:val="004A6866"/>
    <w:rsid w:val="004A7A3C"/>
    <w:rsid w:val="004B13FF"/>
    <w:rsid w:val="004B3A9C"/>
    <w:rsid w:val="004C198E"/>
    <w:rsid w:val="004C2058"/>
    <w:rsid w:val="004D138C"/>
    <w:rsid w:val="004D4BF0"/>
    <w:rsid w:val="004D75F6"/>
    <w:rsid w:val="004E167D"/>
    <w:rsid w:val="004E4503"/>
    <w:rsid w:val="004E6D8D"/>
    <w:rsid w:val="004E6F8A"/>
    <w:rsid w:val="004F215F"/>
    <w:rsid w:val="005021FF"/>
    <w:rsid w:val="00506F92"/>
    <w:rsid w:val="0050722B"/>
    <w:rsid w:val="00507FB6"/>
    <w:rsid w:val="00510508"/>
    <w:rsid w:val="00513897"/>
    <w:rsid w:val="0051734E"/>
    <w:rsid w:val="00521F3F"/>
    <w:rsid w:val="005228D5"/>
    <w:rsid w:val="00524B23"/>
    <w:rsid w:val="0053015F"/>
    <w:rsid w:val="005315D8"/>
    <w:rsid w:val="00534042"/>
    <w:rsid w:val="00535830"/>
    <w:rsid w:val="00542478"/>
    <w:rsid w:val="00544415"/>
    <w:rsid w:val="00551EC2"/>
    <w:rsid w:val="00552A30"/>
    <w:rsid w:val="00553519"/>
    <w:rsid w:val="00555139"/>
    <w:rsid w:val="00555C34"/>
    <w:rsid w:val="00556530"/>
    <w:rsid w:val="00556607"/>
    <w:rsid w:val="005575D8"/>
    <w:rsid w:val="0055770A"/>
    <w:rsid w:val="00557CB5"/>
    <w:rsid w:val="0056019C"/>
    <w:rsid w:val="005664DE"/>
    <w:rsid w:val="00566EE8"/>
    <w:rsid w:val="00571FF7"/>
    <w:rsid w:val="005725C5"/>
    <w:rsid w:val="005751A2"/>
    <w:rsid w:val="00580477"/>
    <w:rsid w:val="00582E68"/>
    <w:rsid w:val="00584081"/>
    <w:rsid w:val="005914EF"/>
    <w:rsid w:val="0059493A"/>
    <w:rsid w:val="00595A33"/>
    <w:rsid w:val="005973A6"/>
    <w:rsid w:val="0059767F"/>
    <w:rsid w:val="005A24FD"/>
    <w:rsid w:val="005A503A"/>
    <w:rsid w:val="005A6CC9"/>
    <w:rsid w:val="005A721E"/>
    <w:rsid w:val="005B5D77"/>
    <w:rsid w:val="005B62B4"/>
    <w:rsid w:val="005C21D8"/>
    <w:rsid w:val="005C34A2"/>
    <w:rsid w:val="005C7BC1"/>
    <w:rsid w:val="005D242E"/>
    <w:rsid w:val="005E2001"/>
    <w:rsid w:val="005E2AB0"/>
    <w:rsid w:val="005E4F2C"/>
    <w:rsid w:val="005E5DCB"/>
    <w:rsid w:val="005F203C"/>
    <w:rsid w:val="005F2BD7"/>
    <w:rsid w:val="005F2BF2"/>
    <w:rsid w:val="0060223D"/>
    <w:rsid w:val="0061192E"/>
    <w:rsid w:val="00611FB8"/>
    <w:rsid w:val="0061768B"/>
    <w:rsid w:val="00622DBA"/>
    <w:rsid w:val="00623AAE"/>
    <w:rsid w:val="00623E63"/>
    <w:rsid w:val="00627CB5"/>
    <w:rsid w:val="00631C28"/>
    <w:rsid w:val="00634971"/>
    <w:rsid w:val="00640D23"/>
    <w:rsid w:val="00641E39"/>
    <w:rsid w:val="0064226C"/>
    <w:rsid w:val="00643741"/>
    <w:rsid w:val="00644E9E"/>
    <w:rsid w:val="00650A96"/>
    <w:rsid w:val="00650EF4"/>
    <w:rsid w:val="0065394F"/>
    <w:rsid w:val="006606E7"/>
    <w:rsid w:val="0066693F"/>
    <w:rsid w:val="006727D4"/>
    <w:rsid w:val="006842E4"/>
    <w:rsid w:val="006847E7"/>
    <w:rsid w:val="00687502"/>
    <w:rsid w:val="00687528"/>
    <w:rsid w:val="00687596"/>
    <w:rsid w:val="00687A08"/>
    <w:rsid w:val="00687A4B"/>
    <w:rsid w:val="00690405"/>
    <w:rsid w:val="006907E5"/>
    <w:rsid w:val="0069232E"/>
    <w:rsid w:val="006A5390"/>
    <w:rsid w:val="006A6BCD"/>
    <w:rsid w:val="006B6AD9"/>
    <w:rsid w:val="006C2A08"/>
    <w:rsid w:val="006C4750"/>
    <w:rsid w:val="006C53BC"/>
    <w:rsid w:val="006C5AF8"/>
    <w:rsid w:val="006D1CBB"/>
    <w:rsid w:val="006D683F"/>
    <w:rsid w:val="006D6D39"/>
    <w:rsid w:val="006E0CB2"/>
    <w:rsid w:val="006E3B26"/>
    <w:rsid w:val="006F1E65"/>
    <w:rsid w:val="006F5EBC"/>
    <w:rsid w:val="00701532"/>
    <w:rsid w:val="00707887"/>
    <w:rsid w:val="00717BE4"/>
    <w:rsid w:val="00720B14"/>
    <w:rsid w:val="007225D9"/>
    <w:rsid w:val="00726C0E"/>
    <w:rsid w:val="00730C89"/>
    <w:rsid w:val="007361CB"/>
    <w:rsid w:val="00736361"/>
    <w:rsid w:val="00740379"/>
    <w:rsid w:val="007425AB"/>
    <w:rsid w:val="00744D89"/>
    <w:rsid w:val="007450D7"/>
    <w:rsid w:val="0075117C"/>
    <w:rsid w:val="00763B41"/>
    <w:rsid w:val="0077342A"/>
    <w:rsid w:val="007747CA"/>
    <w:rsid w:val="00774F43"/>
    <w:rsid w:val="00775B95"/>
    <w:rsid w:val="007761B3"/>
    <w:rsid w:val="0077660E"/>
    <w:rsid w:val="007773FA"/>
    <w:rsid w:val="00777CA7"/>
    <w:rsid w:val="00783D43"/>
    <w:rsid w:val="00791A63"/>
    <w:rsid w:val="00795A3F"/>
    <w:rsid w:val="00796AEF"/>
    <w:rsid w:val="007A2A62"/>
    <w:rsid w:val="007B5389"/>
    <w:rsid w:val="007B5662"/>
    <w:rsid w:val="007C0B27"/>
    <w:rsid w:val="007C1F78"/>
    <w:rsid w:val="007C75F9"/>
    <w:rsid w:val="007D0C78"/>
    <w:rsid w:val="007E16F5"/>
    <w:rsid w:val="007E3691"/>
    <w:rsid w:val="007E3980"/>
    <w:rsid w:val="007E5B03"/>
    <w:rsid w:val="007E7A79"/>
    <w:rsid w:val="007F118F"/>
    <w:rsid w:val="007F1DF4"/>
    <w:rsid w:val="007F30F6"/>
    <w:rsid w:val="00802D79"/>
    <w:rsid w:val="008060D8"/>
    <w:rsid w:val="00806FC9"/>
    <w:rsid w:val="00812763"/>
    <w:rsid w:val="00812D57"/>
    <w:rsid w:val="00816E8D"/>
    <w:rsid w:val="00823EF6"/>
    <w:rsid w:val="00833E58"/>
    <w:rsid w:val="00837254"/>
    <w:rsid w:val="00841ABE"/>
    <w:rsid w:val="00851471"/>
    <w:rsid w:val="008542E4"/>
    <w:rsid w:val="008655C5"/>
    <w:rsid w:val="0087138A"/>
    <w:rsid w:val="008750DB"/>
    <w:rsid w:val="008822F4"/>
    <w:rsid w:val="008835BE"/>
    <w:rsid w:val="00883A80"/>
    <w:rsid w:val="00887F09"/>
    <w:rsid w:val="00893483"/>
    <w:rsid w:val="008960E7"/>
    <w:rsid w:val="00896375"/>
    <w:rsid w:val="00897AD1"/>
    <w:rsid w:val="00897D17"/>
    <w:rsid w:val="008A101F"/>
    <w:rsid w:val="008A4E86"/>
    <w:rsid w:val="008A6C4F"/>
    <w:rsid w:val="008B0616"/>
    <w:rsid w:val="008B29FF"/>
    <w:rsid w:val="008B2D9B"/>
    <w:rsid w:val="008C0ED8"/>
    <w:rsid w:val="008C2485"/>
    <w:rsid w:val="008D1570"/>
    <w:rsid w:val="008D2265"/>
    <w:rsid w:val="008D5799"/>
    <w:rsid w:val="008D60C3"/>
    <w:rsid w:val="008E2F31"/>
    <w:rsid w:val="008E4015"/>
    <w:rsid w:val="008F043C"/>
    <w:rsid w:val="008F1E63"/>
    <w:rsid w:val="008F3739"/>
    <w:rsid w:val="008F4FBF"/>
    <w:rsid w:val="008F67B2"/>
    <w:rsid w:val="008F6C49"/>
    <w:rsid w:val="0090086F"/>
    <w:rsid w:val="00901502"/>
    <w:rsid w:val="00905D22"/>
    <w:rsid w:val="00910AAD"/>
    <w:rsid w:val="00914D1D"/>
    <w:rsid w:val="009157D4"/>
    <w:rsid w:val="00916E94"/>
    <w:rsid w:val="00920EEA"/>
    <w:rsid w:val="0092219C"/>
    <w:rsid w:val="00922908"/>
    <w:rsid w:val="00923FB4"/>
    <w:rsid w:val="009274FF"/>
    <w:rsid w:val="00932542"/>
    <w:rsid w:val="009357A6"/>
    <w:rsid w:val="009362B6"/>
    <w:rsid w:val="009366E2"/>
    <w:rsid w:val="0093752F"/>
    <w:rsid w:val="00940478"/>
    <w:rsid w:val="00952F73"/>
    <w:rsid w:val="0095429B"/>
    <w:rsid w:val="00956E6D"/>
    <w:rsid w:val="00963298"/>
    <w:rsid w:val="00964A69"/>
    <w:rsid w:val="009653B5"/>
    <w:rsid w:val="00966492"/>
    <w:rsid w:val="00967E42"/>
    <w:rsid w:val="00973D22"/>
    <w:rsid w:val="00974843"/>
    <w:rsid w:val="00984E79"/>
    <w:rsid w:val="00990940"/>
    <w:rsid w:val="00990C59"/>
    <w:rsid w:val="0099447B"/>
    <w:rsid w:val="009A0BC2"/>
    <w:rsid w:val="009A18F2"/>
    <w:rsid w:val="009A28AC"/>
    <w:rsid w:val="009A4E55"/>
    <w:rsid w:val="009B47CC"/>
    <w:rsid w:val="009B5422"/>
    <w:rsid w:val="009B6B4F"/>
    <w:rsid w:val="009B7A8E"/>
    <w:rsid w:val="009C0790"/>
    <w:rsid w:val="009C27DC"/>
    <w:rsid w:val="009D3588"/>
    <w:rsid w:val="009D3F7B"/>
    <w:rsid w:val="009E2AEC"/>
    <w:rsid w:val="009F021A"/>
    <w:rsid w:val="009F04EE"/>
    <w:rsid w:val="009F1838"/>
    <w:rsid w:val="009F4828"/>
    <w:rsid w:val="009F4F95"/>
    <w:rsid w:val="009F650A"/>
    <w:rsid w:val="009F7089"/>
    <w:rsid w:val="00A01501"/>
    <w:rsid w:val="00A017FB"/>
    <w:rsid w:val="00A02721"/>
    <w:rsid w:val="00A06BB8"/>
    <w:rsid w:val="00A10400"/>
    <w:rsid w:val="00A12D0E"/>
    <w:rsid w:val="00A13487"/>
    <w:rsid w:val="00A247A0"/>
    <w:rsid w:val="00A255E2"/>
    <w:rsid w:val="00A2582C"/>
    <w:rsid w:val="00A25D3D"/>
    <w:rsid w:val="00A26084"/>
    <w:rsid w:val="00A32595"/>
    <w:rsid w:val="00A34D4C"/>
    <w:rsid w:val="00A3637F"/>
    <w:rsid w:val="00A40B9E"/>
    <w:rsid w:val="00A412F4"/>
    <w:rsid w:val="00A42180"/>
    <w:rsid w:val="00A4314B"/>
    <w:rsid w:val="00A44464"/>
    <w:rsid w:val="00A44AF5"/>
    <w:rsid w:val="00A513E3"/>
    <w:rsid w:val="00A5672C"/>
    <w:rsid w:val="00A578B5"/>
    <w:rsid w:val="00A612D3"/>
    <w:rsid w:val="00A66C35"/>
    <w:rsid w:val="00A67036"/>
    <w:rsid w:val="00A70990"/>
    <w:rsid w:val="00A72496"/>
    <w:rsid w:val="00A72B50"/>
    <w:rsid w:val="00A72D93"/>
    <w:rsid w:val="00A82733"/>
    <w:rsid w:val="00A84256"/>
    <w:rsid w:val="00A8476B"/>
    <w:rsid w:val="00A933D5"/>
    <w:rsid w:val="00A96E46"/>
    <w:rsid w:val="00A9756F"/>
    <w:rsid w:val="00AA4AC4"/>
    <w:rsid w:val="00AA7FFE"/>
    <w:rsid w:val="00AB4EA8"/>
    <w:rsid w:val="00AB59C2"/>
    <w:rsid w:val="00AB770E"/>
    <w:rsid w:val="00AC1B45"/>
    <w:rsid w:val="00AC2E4D"/>
    <w:rsid w:val="00AC5237"/>
    <w:rsid w:val="00AC7075"/>
    <w:rsid w:val="00AD2180"/>
    <w:rsid w:val="00AD46C9"/>
    <w:rsid w:val="00AD7E64"/>
    <w:rsid w:val="00AE0B16"/>
    <w:rsid w:val="00AE1D55"/>
    <w:rsid w:val="00AE2841"/>
    <w:rsid w:val="00AE3820"/>
    <w:rsid w:val="00AE73D2"/>
    <w:rsid w:val="00AE792A"/>
    <w:rsid w:val="00AF082A"/>
    <w:rsid w:val="00AF4DF9"/>
    <w:rsid w:val="00AF4F96"/>
    <w:rsid w:val="00AF59F6"/>
    <w:rsid w:val="00AF6606"/>
    <w:rsid w:val="00B046CD"/>
    <w:rsid w:val="00B06DF8"/>
    <w:rsid w:val="00B11279"/>
    <w:rsid w:val="00B13211"/>
    <w:rsid w:val="00B14E7C"/>
    <w:rsid w:val="00B17D08"/>
    <w:rsid w:val="00B25C4B"/>
    <w:rsid w:val="00B27AA4"/>
    <w:rsid w:val="00B317C6"/>
    <w:rsid w:val="00B33195"/>
    <w:rsid w:val="00B339FD"/>
    <w:rsid w:val="00B33F65"/>
    <w:rsid w:val="00B40178"/>
    <w:rsid w:val="00B43FAA"/>
    <w:rsid w:val="00B45C3D"/>
    <w:rsid w:val="00B47E17"/>
    <w:rsid w:val="00B5473F"/>
    <w:rsid w:val="00B60C8F"/>
    <w:rsid w:val="00B61D1E"/>
    <w:rsid w:val="00B62DBF"/>
    <w:rsid w:val="00B63286"/>
    <w:rsid w:val="00B6382D"/>
    <w:rsid w:val="00B71C8A"/>
    <w:rsid w:val="00B72768"/>
    <w:rsid w:val="00B74BEC"/>
    <w:rsid w:val="00B80BB5"/>
    <w:rsid w:val="00B847AE"/>
    <w:rsid w:val="00B93A1A"/>
    <w:rsid w:val="00B95C58"/>
    <w:rsid w:val="00B96569"/>
    <w:rsid w:val="00B97F55"/>
    <w:rsid w:val="00BA5B2D"/>
    <w:rsid w:val="00BA5D68"/>
    <w:rsid w:val="00BA797C"/>
    <w:rsid w:val="00BB0D7F"/>
    <w:rsid w:val="00BB4082"/>
    <w:rsid w:val="00BC0888"/>
    <w:rsid w:val="00BC3E8A"/>
    <w:rsid w:val="00BD3B00"/>
    <w:rsid w:val="00BE2CE9"/>
    <w:rsid w:val="00BE41B7"/>
    <w:rsid w:val="00BE674F"/>
    <w:rsid w:val="00BE769C"/>
    <w:rsid w:val="00BE7756"/>
    <w:rsid w:val="00BF486B"/>
    <w:rsid w:val="00BF6C4E"/>
    <w:rsid w:val="00BF79B6"/>
    <w:rsid w:val="00C117C2"/>
    <w:rsid w:val="00C12C13"/>
    <w:rsid w:val="00C17387"/>
    <w:rsid w:val="00C17960"/>
    <w:rsid w:val="00C2569A"/>
    <w:rsid w:val="00C25914"/>
    <w:rsid w:val="00C26DF5"/>
    <w:rsid w:val="00C313A5"/>
    <w:rsid w:val="00C42335"/>
    <w:rsid w:val="00C434AD"/>
    <w:rsid w:val="00C43BC4"/>
    <w:rsid w:val="00C45330"/>
    <w:rsid w:val="00C45C3B"/>
    <w:rsid w:val="00C519A3"/>
    <w:rsid w:val="00C574DB"/>
    <w:rsid w:val="00C5759C"/>
    <w:rsid w:val="00C57E2E"/>
    <w:rsid w:val="00C617FC"/>
    <w:rsid w:val="00C61969"/>
    <w:rsid w:val="00C65E6B"/>
    <w:rsid w:val="00C72311"/>
    <w:rsid w:val="00C726B8"/>
    <w:rsid w:val="00C81F9B"/>
    <w:rsid w:val="00C82BF7"/>
    <w:rsid w:val="00C83BD1"/>
    <w:rsid w:val="00C903D5"/>
    <w:rsid w:val="00C9211B"/>
    <w:rsid w:val="00C928D6"/>
    <w:rsid w:val="00C94276"/>
    <w:rsid w:val="00C9693C"/>
    <w:rsid w:val="00CA0D7D"/>
    <w:rsid w:val="00CA1BB0"/>
    <w:rsid w:val="00CA2A1C"/>
    <w:rsid w:val="00CA5443"/>
    <w:rsid w:val="00CA6BAF"/>
    <w:rsid w:val="00CB6E1F"/>
    <w:rsid w:val="00CC4D11"/>
    <w:rsid w:val="00CC64EF"/>
    <w:rsid w:val="00CD2E51"/>
    <w:rsid w:val="00CD50EA"/>
    <w:rsid w:val="00CD5E2D"/>
    <w:rsid w:val="00CD6E36"/>
    <w:rsid w:val="00CD734F"/>
    <w:rsid w:val="00CD7D11"/>
    <w:rsid w:val="00CE28F0"/>
    <w:rsid w:val="00CE699B"/>
    <w:rsid w:val="00CF59F6"/>
    <w:rsid w:val="00CF6CEE"/>
    <w:rsid w:val="00D03EEE"/>
    <w:rsid w:val="00D07B93"/>
    <w:rsid w:val="00D1162D"/>
    <w:rsid w:val="00D14197"/>
    <w:rsid w:val="00D16ADB"/>
    <w:rsid w:val="00D214FD"/>
    <w:rsid w:val="00D23DFC"/>
    <w:rsid w:val="00D246F1"/>
    <w:rsid w:val="00D33F6D"/>
    <w:rsid w:val="00D345BF"/>
    <w:rsid w:val="00D35BEF"/>
    <w:rsid w:val="00D362D7"/>
    <w:rsid w:val="00D45EAE"/>
    <w:rsid w:val="00D507DC"/>
    <w:rsid w:val="00D5375A"/>
    <w:rsid w:val="00D53B2D"/>
    <w:rsid w:val="00D56922"/>
    <w:rsid w:val="00D56E45"/>
    <w:rsid w:val="00D61F9D"/>
    <w:rsid w:val="00D61FB3"/>
    <w:rsid w:val="00D6426D"/>
    <w:rsid w:val="00D6593D"/>
    <w:rsid w:val="00D713CC"/>
    <w:rsid w:val="00D71412"/>
    <w:rsid w:val="00D7289C"/>
    <w:rsid w:val="00D74DEE"/>
    <w:rsid w:val="00D75E19"/>
    <w:rsid w:val="00D77256"/>
    <w:rsid w:val="00D85617"/>
    <w:rsid w:val="00D873DE"/>
    <w:rsid w:val="00D8790C"/>
    <w:rsid w:val="00D91738"/>
    <w:rsid w:val="00D939A4"/>
    <w:rsid w:val="00D93BC9"/>
    <w:rsid w:val="00D95B3F"/>
    <w:rsid w:val="00D96562"/>
    <w:rsid w:val="00DA22BB"/>
    <w:rsid w:val="00DA4564"/>
    <w:rsid w:val="00DA7E90"/>
    <w:rsid w:val="00DB363A"/>
    <w:rsid w:val="00DC0B52"/>
    <w:rsid w:val="00DC3329"/>
    <w:rsid w:val="00DD00BF"/>
    <w:rsid w:val="00DD14BF"/>
    <w:rsid w:val="00DD5538"/>
    <w:rsid w:val="00DD6A8D"/>
    <w:rsid w:val="00DE17BA"/>
    <w:rsid w:val="00DE6BAC"/>
    <w:rsid w:val="00DF0391"/>
    <w:rsid w:val="00DF6555"/>
    <w:rsid w:val="00E01382"/>
    <w:rsid w:val="00E038DD"/>
    <w:rsid w:val="00E103D0"/>
    <w:rsid w:val="00E11EE2"/>
    <w:rsid w:val="00E1594B"/>
    <w:rsid w:val="00E16962"/>
    <w:rsid w:val="00E16F0F"/>
    <w:rsid w:val="00E172B7"/>
    <w:rsid w:val="00E25F22"/>
    <w:rsid w:val="00E26078"/>
    <w:rsid w:val="00E27360"/>
    <w:rsid w:val="00E301A1"/>
    <w:rsid w:val="00E3021D"/>
    <w:rsid w:val="00E33F27"/>
    <w:rsid w:val="00E35190"/>
    <w:rsid w:val="00E373E2"/>
    <w:rsid w:val="00E405C8"/>
    <w:rsid w:val="00E4755C"/>
    <w:rsid w:val="00E522BC"/>
    <w:rsid w:val="00E6297C"/>
    <w:rsid w:val="00E70B2C"/>
    <w:rsid w:val="00E7554A"/>
    <w:rsid w:val="00E77727"/>
    <w:rsid w:val="00E77D1A"/>
    <w:rsid w:val="00E80565"/>
    <w:rsid w:val="00E855C9"/>
    <w:rsid w:val="00E86A08"/>
    <w:rsid w:val="00E90267"/>
    <w:rsid w:val="00E90962"/>
    <w:rsid w:val="00E90DE5"/>
    <w:rsid w:val="00E91248"/>
    <w:rsid w:val="00E92023"/>
    <w:rsid w:val="00E9386C"/>
    <w:rsid w:val="00E9581B"/>
    <w:rsid w:val="00E95EFD"/>
    <w:rsid w:val="00E9715F"/>
    <w:rsid w:val="00EA3BD9"/>
    <w:rsid w:val="00EA75F3"/>
    <w:rsid w:val="00EB3409"/>
    <w:rsid w:val="00EB4153"/>
    <w:rsid w:val="00EB5CB8"/>
    <w:rsid w:val="00EC023A"/>
    <w:rsid w:val="00EC24E7"/>
    <w:rsid w:val="00EC2639"/>
    <w:rsid w:val="00EC5C70"/>
    <w:rsid w:val="00EC684C"/>
    <w:rsid w:val="00ED497F"/>
    <w:rsid w:val="00ED7914"/>
    <w:rsid w:val="00EE23F5"/>
    <w:rsid w:val="00EE2B97"/>
    <w:rsid w:val="00EF17B9"/>
    <w:rsid w:val="00EF30EB"/>
    <w:rsid w:val="00EF4065"/>
    <w:rsid w:val="00EF5024"/>
    <w:rsid w:val="00F01DF7"/>
    <w:rsid w:val="00F0280B"/>
    <w:rsid w:val="00F03196"/>
    <w:rsid w:val="00F07B7E"/>
    <w:rsid w:val="00F10BD6"/>
    <w:rsid w:val="00F1217D"/>
    <w:rsid w:val="00F220F1"/>
    <w:rsid w:val="00F26233"/>
    <w:rsid w:val="00F32084"/>
    <w:rsid w:val="00F37A99"/>
    <w:rsid w:val="00F406D4"/>
    <w:rsid w:val="00F45316"/>
    <w:rsid w:val="00F54B53"/>
    <w:rsid w:val="00F57AB4"/>
    <w:rsid w:val="00F60316"/>
    <w:rsid w:val="00F637EC"/>
    <w:rsid w:val="00F7147C"/>
    <w:rsid w:val="00F735DA"/>
    <w:rsid w:val="00F75B6C"/>
    <w:rsid w:val="00F80C5D"/>
    <w:rsid w:val="00F840BB"/>
    <w:rsid w:val="00F84263"/>
    <w:rsid w:val="00F9053E"/>
    <w:rsid w:val="00F939CC"/>
    <w:rsid w:val="00F94D51"/>
    <w:rsid w:val="00F95AD7"/>
    <w:rsid w:val="00FA1C1C"/>
    <w:rsid w:val="00FA4405"/>
    <w:rsid w:val="00FA464D"/>
    <w:rsid w:val="00FA5196"/>
    <w:rsid w:val="00FA562C"/>
    <w:rsid w:val="00FB26B8"/>
    <w:rsid w:val="00FB3F75"/>
    <w:rsid w:val="00FB6C29"/>
    <w:rsid w:val="00FB76D0"/>
    <w:rsid w:val="00FB7A15"/>
    <w:rsid w:val="00FD062A"/>
    <w:rsid w:val="00FD1C25"/>
    <w:rsid w:val="00FD403E"/>
    <w:rsid w:val="00FD5B33"/>
    <w:rsid w:val="00FE253A"/>
    <w:rsid w:val="00FE4188"/>
    <w:rsid w:val="00FE5A93"/>
    <w:rsid w:val="00FE6A40"/>
    <w:rsid w:val="00FE7650"/>
    <w:rsid w:val="00FF0FA6"/>
    <w:rsid w:val="00FF2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EE69F"/>
  <w15:docId w15:val="{D025F696-8BEC-4BD1-8C3A-1F41D6E6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351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23513"/>
    <w:pPr>
      <w:spacing w:after="0" w:line="240" w:lineRule="auto"/>
    </w:pPr>
  </w:style>
  <w:style w:type="paragraph" w:styleId="Zhlav">
    <w:name w:val="header"/>
    <w:basedOn w:val="Normln"/>
    <w:link w:val="ZhlavChar"/>
    <w:uiPriority w:val="99"/>
    <w:unhideWhenUsed/>
    <w:rsid w:val="00FD1C25"/>
    <w:pPr>
      <w:tabs>
        <w:tab w:val="center" w:pos="4536"/>
        <w:tab w:val="right" w:pos="9072"/>
      </w:tabs>
      <w:spacing w:after="0" w:line="240" w:lineRule="auto"/>
    </w:pPr>
    <w:rPr>
      <w:rFonts w:ascii="Times New Roman" w:eastAsiaTheme="minorEastAsia" w:hAnsi="Times New Roman" w:cs="Times New Roman"/>
      <w:sz w:val="24"/>
      <w:szCs w:val="24"/>
      <w:lang w:eastAsia="cs-CZ"/>
    </w:rPr>
  </w:style>
  <w:style w:type="character" w:customStyle="1" w:styleId="ZhlavChar">
    <w:name w:val="Záhlaví Char"/>
    <w:basedOn w:val="Standardnpsmoodstavce"/>
    <w:link w:val="Zhlav"/>
    <w:uiPriority w:val="99"/>
    <w:rsid w:val="00FD1C25"/>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FD1C25"/>
    <w:pPr>
      <w:tabs>
        <w:tab w:val="center" w:pos="4536"/>
        <w:tab w:val="right" w:pos="9072"/>
      </w:tabs>
      <w:spacing w:after="0" w:line="240" w:lineRule="auto"/>
    </w:pPr>
    <w:rPr>
      <w:rFonts w:ascii="Times New Roman" w:eastAsiaTheme="minorEastAsia" w:hAnsi="Times New Roman" w:cs="Times New Roman"/>
      <w:sz w:val="24"/>
      <w:szCs w:val="24"/>
      <w:lang w:eastAsia="cs-CZ"/>
    </w:rPr>
  </w:style>
  <w:style w:type="character" w:customStyle="1" w:styleId="ZpatChar">
    <w:name w:val="Zápatí Char"/>
    <w:basedOn w:val="Standardnpsmoodstavce"/>
    <w:link w:val="Zpat"/>
    <w:uiPriority w:val="99"/>
    <w:rsid w:val="00FD1C25"/>
    <w:rPr>
      <w:rFonts w:ascii="Times New Roman" w:eastAsiaTheme="minorEastAsia" w:hAnsi="Times New Roman" w:cs="Times New Roman"/>
      <w:sz w:val="24"/>
      <w:szCs w:val="24"/>
      <w:lang w:eastAsia="cs-CZ"/>
    </w:rPr>
  </w:style>
  <w:style w:type="character" w:customStyle="1" w:styleId="xsptextviewcolumn">
    <w:name w:val="xsptextviewcolumn"/>
    <w:basedOn w:val="Standardnpsmoodstavce"/>
    <w:rsid w:val="00E405C8"/>
  </w:style>
  <w:style w:type="character" w:customStyle="1" w:styleId="xsptextcomputedfield">
    <w:name w:val="xsptextcomputedfield"/>
    <w:basedOn w:val="Standardnpsmoodstavce"/>
    <w:rsid w:val="00E405C8"/>
  </w:style>
  <w:style w:type="table" w:styleId="Mkatabulky">
    <w:name w:val="Table Grid"/>
    <w:basedOn w:val="Normlntabulka"/>
    <w:uiPriority w:val="59"/>
    <w:rsid w:val="00BC08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7F30F6"/>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7F30F6"/>
    <w:rPr>
      <w:rFonts w:ascii="Times New Roman" w:eastAsia="Times New Roman" w:hAnsi="Times New Roman" w:cs="Times New Roman"/>
      <w:sz w:val="20"/>
      <w:szCs w:val="20"/>
      <w:lang w:eastAsia="cs-CZ"/>
    </w:rPr>
  </w:style>
  <w:style w:type="character" w:styleId="Znakapoznpodarou">
    <w:name w:val="footnote reference"/>
    <w:rsid w:val="007F30F6"/>
    <w:rPr>
      <w:vertAlign w:val="superscript"/>
    </w:rPr>
  </w:style>
  <w:style w:type="character" w:styleId="Hypertextovodkaz">
    <w:name w:val="Hyperlink"/>
    <w:basedOn w:val="Standardnpsmoodstavce"/>
    <w:uiPriority w:val="99"/>
    <w:rsid w:val="00D1162D"/>
    <w:rPr>
      <w:color w:val="0000FF"/>
      <w:u w:val="single"/>
    </w:rPr>
  </w:style>
  <w:style w:type="character" w:styleId="Odkaznakoment">
    <w:name w:val="annotation reference"/>
    <w:basedOn w:val="Standardnpsmoodstavce"/>
    <w:uiPriority w:val="99"/>
    <w:semiHidden/>
    <w:unhideWhenUsed/>
    <w:rsid w:val="00F406D4"/>
    <w:rPr>
      <w:sz w:val="16"/>
      <w:szCs w:val="16"/>
    </w:rPr>
  </w:style>
  <w:style w:type="paragraph" w:styleId="Textkomente">
    <w:name w:val="annotation text"/>
    <w:basedOn w:val="Normln"/>
    <w:link w:val="TextkomenteChar"/>
    <w:uiPriority w:val="99"/>
    <w:semiHidden/>
    <w:unhideWhenUsed/>
    <w:rsid w:val="00F406D4"/>
    <w:pPr>
      <w:spacing w:line="240" w:lineRule="auto"/>
    </w:pPr>
    <w:rPr>
      <w:sz w:val="20"/>
      <w:szCs w:val="20"/>
    </w:rPr>
  </w:style>
  <w:style w:type="character" w:customStyle="1" w:styleId="TextkomenteChar">
    <w:name w:val="Text komentáře Char"/>
    <w:basedOn w:val="Standardnpsmoodstavce"/>
    <w:link w:val="Textkomente"/>
    <w:uiPriority w:val="99"/>
    <w:semiHidden/>
    <w:rsid w:val="00F406D4"/>
    <w:rPr>
      <w:sz w:val="20"/>
      <w:szCs w:val="20"/>
    </w:rPr>
  </w:style>
  <w:style w:type="paragraph" w:styleId="Pedmtkomente">
    <w:name w:val="annotation subject"/>
    <w:basedOn w:val="Textkomente"/>
    <w:next w:val="Textkomente"/>
    <w:link w:val="PedmtkomenteChar"/>
    <w:uiPriority w:val="99"/>
    <w:semiHidden/>
    <w:unhideWhenUsed/>
    <w:rsid w:val="00F406D4"/>
    <w:rPr>
      <w:b/>
      <w:bCs/>
    </w:rPr>
  </w:style>
  <w:style w:type="character" w:customStyle="1" w:styleId="PedmtkomenteChar">
    <w:name w:val="Předmět komentáře Char"/>
    <w:basedOn w:val="TextkomenteChar"/>
    <w:link w:val="Pedmtkomente"/>
    <w:uiPriority w:val="99"/>
    <w:semiHidden/>
    <w:rsid w:val="00F406D4"/>
    <w:rPr>
      <w:b/>
      <w:bCs/>
      <w:sz w:val="20"/>
      <w:szCs w:val="20"/>
    </w:rPr>
  </w:style>
  <w:style w:type="paragraph" w:styleId="Odstavecseseznamem">
    <w:name w:val="List Paragraph"/>
    <w:basedOn w:val="Normln"/>
    <w:uiPriority w:val="34"/>
    <w:qFormat/>
    <w:rsid w:val="00B33195"/>
    <w:pPr>
      <w:ind w:left="720"/>
      <w:contextualSpacing/>
    </w:pPr>
  </w:style>
  <w:style w:type="paragraph" w:styleId="Zkladntext">
    <w:name w:val="Body Text"/>
    <w:basedOn w:val="Normln"/>
    <w:link w:val="ZkladntextChar"/>
    <w:uiPriority w:val="99"/>
    <w:semiHidden/>
    <w:unhideWhenUsed/>
    <w:rsid w:val="001F3172"/>
    <w:pPr>
      <w:spacing w:after="120"/>
    </w:pPr>
  </w:style>
  <w:style w:type="character" w:customStyle="1" w:styleId="ZkladntextChar">
    <w:name w:val="Základní text Char"/>
    <w:basedOn w:val="Standardnpsmoodstavce"/>
    <w:link w:val="Zkladntext"/>
    <w:uiPriority w:val="99"/>
    <w:semiHidden/>
    <w:rsid w:val="001F3172"/>
  </w:style>
  <w:style w:type="paragraph" w:styleId="Revize">
    <w:name w:val="Revision"/>
    <w:hidden/>
    <w:uiPriority w:val="99"/>
    <w:semiHidden/>
    <w:rsid w:val="00AD4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665">
      <w:bodyDiv w:val="1"/>
      <w:marLeft w:val="0"/>
      <w:marRight w:val="0"/>
      <w:marTop w:val="0"/>
      <w:marBottom w:val="0"/>
      <w:divBdr>
        <w:top w:val="none" w:sz="0" w:space="0" w:color="auto"/>
        <w:left w:val="none" w:sz="0" w:space="0" w:color="auto"/>
        <w:bottom w:val="none" w:sz="0" w:space="0" w:color="auto"/>
        <w:right w:val="none" w:sz="0" w:space="0" w:color="auto"/>
      </w:divBdr>
    </w:div>
    <w:div w:id="43993367">
      <w:bodyDiv w:val="1"/>
      <w:marLeft w:val="0"/>
      <w:marRight w:val="0"/>
      <w:marTop w:val="0"/>
      <w:marBottom w:val="0"/>
      <w:divBdr>
        <w:top w:val="none" w:sz="0" w:space="0" w:color="auto"/>
        <w:left w:val="none" w:sz="0" w:space="0" w:color="auto"/>
        <w:bottom w:val="none" w:sz="0" w:space="0" w:color="auto"/>
        <w:right w:val="none" w:sz="0" w:space="0" w:color="auto"/>
      </w:divBdr>
    </w:div>
    <w:div w:id="105658123">
      <w:bodyDiv w:val="1"/>
      <w:marLeft w:val="0"/>
      <w:marRight w:val="0"/>
      <w:marTop w:val="0"/>
      <w:marBottom w:val="0"/>
      <w:divBdr>
        <w:top w:val="none" w:sz="0" w:space="0" w:color="auto"/>
        <w:left w:val="none" w:sz="0" w:space="0" w:color="auto"/>
        <w:bottom w:val="none" w:sz="0" w:space="0" w:color="auto"/>
        <w:right w:val="none" w:sz="0" w:space="0" w:color="auto"/>
      </w:divBdr>
    </w:div>
    <w:div w:id="141697821">
      <w:bodyDiv w:val="1"/>
      <w:marLeft w:val="0"/>
      <w:marRight w:val="0"/>
      <w:marTop w:val="0"/>
      <w:marBottom w:val="0"/>
      <w:divBdr>
        <w:top w:val="none" w:sz="0" w:space="0" w:color="auto"/>
        <w:left w:val="none" w:sz="0" w:space="0" w:color="auto"/>
        <w:bottom w:val="none" w:sz="0" w:space="0" w:color="auto"/>
        <w:right w:val="none" w:sz="0" w:space="0" w:color="auto"/>
      </w:divBdr>
    </w:div>
    <w:div w:id="313485237">
      <w:bodyDiv w:val="1"/>
      <w:marLeft w:val="0"/>
      <w:marRight w:val="0"/>
      <w:marTop w:val="0"/>
      <w:marBottom w:val="0"/>
      <w:divBdr>
        <w:top w:val="none" w:sz="0" w:space="0" w:color="auto"/>
        <w:left w:val="none" w:sz="0" w:space="0" w:color="auto"/>
        <w:bottom w:val="none" w:sz="0" w:space="0" w:color="auto"/>
        <w:right w:val="none" w:sz="0" w:space="0" w:color="auto"/>
      </w:divBdr>
    </w:div>
    <w:div w:id="329138415">
      <w:bodyDiv w:val="1"/>
      <w:marLeft w:val="0"/>
      <w:marRight w:val="0"/>
      <w:marTop w:val="0"/>
      <w:marBottom w:val="0"/>
      <w:divBdr>
        <w:top w:val="none" w:sz="0" w:space="0" w:color="auto"/>
        <w:left w:val="none" w:sz="0" w:space="0" w:color="auto"/>
        <w:bottom w:val="none" w:sz="0" w:space="0" w:color="auto"/>
        <w:right w:val="none" w:sz="0" w:space="0" w:color="auto"/>
      </w:divBdr>
    </w:div>
    <w:div w:id="444813650">
      <w:bodyDiv w:val="1"/>
      <w:marLeft w:val="0"/>
      <w:marRight w:val="0"/>
      <w:marTop w:val="0"/>
      <w:marBottom w:val="0"/>
      <w:divBdr>
        <w:top w:val="none" w:sz="0" w:space="0" w:color="auto"/>
        <w:left w:val="none" w:sz="0" w:space="0" w:color="auto"/>
        <w:bottom w:val="none" w:sz="0" w:space="0" w:color="auto"/>
        <w:right w:val="none" w:sz="0" w:space="0" w:color="auto"/>
      </w:divBdr>
    </w:div>
    <w:div w:id="525756797">
      <w:bodyDiv w:val="1"/>
      <w:marLeft w:val="0"/>
      <w:marRight w:val="0"/>
      <w:marTop w:val="0"/>
      <w:marBottom w:val="0"/>
      <w:divBdr>
        <w:top w:val="none" w:sz="0" w:space="0" w:color="auto"/>
        <w:left w:val="none" w:sz="0" w:space="0" w:color="auto"/>
        <w:bottom w:val="none" w:sz="0" w:space="0" w:color="auto"/>
        <w:right w:val="none" w:sz="0" w:space="0" w:color="auto"/>
      </w:divBdr>
    </w:div>
    <w:div w:id="566039024">
      <w:bodyDiv w:val="1"/>
      <w:marLeft w:val="0"/>
      <w:marRight w:val="0"/>
      <w:marTop w:val="0"/>
      <w:marBottom w:val="0"/>
      <w:divBdr>
        <w:top w:val="none" w:sz="0" w:space="0" w:color="auto"/>
        <w:left w:val="none" w:sz="0" w:space="0" w:color="auto"/>
        <w:bottom w:val="none" w:sz="0" w:space="0" w:color="auto"/>
        <w:right w:val="none" w:sz="0" w:space="0" w:color="auto"/>
      </w:divBdr>
    </w:div>
    <w:div w:id="567957197">
      <w:bodyDiv w:val="1"/>
      <w:marLeft w:val="0"/>
      <w:marRight w:val="0"/>
      <w:marTop w:val="0"/>
      <w:marBottom w:val="0"/>
      <w:divBdr>
        <w:top w:val="none" w:sz="0" w:space="0" w:color="auto"/>
        <w:left w:val="none" w:sz="0" w:space="0" w:color="auto"/>
        <w:bottom w:val="none" w:sz="0" w:space="0" w:color="auto"/>
        <w:right w:val="none" w:sz="0" w:space="0" w:color="auto"/>
      </w:divBdr>
    </w:div>
    <w:div w:id="588777792">
      <w:bodyDiv w:val="1"/>
      <w:marLeft w:val="0"/>
      <w:marRight w:val="0"/>
      <w:marTop w:val="0"/>
      <w:marBottom w:val="0"/>
      <w:divBdr>
        <w:top w:val="none" w:sz="0" w:space="0" w:color="auto"/>
        <w:left w:val="none" w:sz="0" w:space="0" w:color="auto"/>
        <w:bottom w:val="none" w:sz="0" w:space="0" w:color="auto"/>
        <w:right w:val="none" w:sz="0" w:space="0" w:color="auto"/>
      </w:divBdr>
    </w:div>
    <w:div w:id="702218583">
      <w:bodyDiv w:val="1"/>
      <w:marLeft w:val="0"/>
      <w:marRight w:val="0"/>
      <w:marTop w:val="0"/>
      <w:marBottom w:val="0"/>
      <w:divBdr>
        <w:top w:val="none" w:sz="0" w:space="0" w:color="auto"/>
        <w:left w:val="none" w:sz="0" w:space="0" w:color="auto"/>
        <w:bottom w:val="none" w:sz="0" w:space="0" w:color="auto"/>
        <w:right w:val="none" w:sz="0" w:space="0" w:color="auto"/>
      </w:divBdr>
    </w:div>
    <w:div w:id="744843924">
      <w:bodyDiv w:val="1"/>
      <w:marLeft w:val="0"/>
      <w:marRight w:val="0"/>
      <w:marTop w:val="0"/>
      <w:marBottom w:val="0"/>
      <w:divBdr>
        <w:top w:val="none" w:sz="0" w:space="0" w:color="auto"/>
        <w:left w:val="none" w:sz="0" w:space="0" w:color="auto"/>
        <w:bottom w:val="none" w:sz="0" w:space="0" w:color="auto"/>
        <w:right w:val="none" w:sz="0" w:space="0" w:color="auto"/>
      </w:divBdr>
    </w:div>
    <w:div w:id="767820281">
      <w:bodyDiv w:val="1"/>
      <w:marLeft w:val="0"/>
      <w:marRight w:val="0"/>
      <w:marTop w:val="0"/>
      <w:marBottom w:val="0"/>
      <w:divBdr>
        <w:top w:val="none" w:sz="0" w:space="0" w:color="auto"/>
        <w:left w:val="none" w:sz="0" w:space="0" w:color="auto"/>
        <w:bottom w:val="none" w:sz="0" w:space="0" w:color="auto"/>
        <w:right w:val="none" w:sz="0" w:space="0" w:color="auto"/>
      </w:divBdr>
    </w:div>
    <w:div w:id="854422952">
      <w:bodyDiv w:val="1"/>
      <w:marLeft w:val="0"/>
      <w:marRight w:val="0"/>
      <w:marTop w:val="0"/>
      <w:marBottom w:val="0"/>
      <w:divBdr>
        <w:top w:val="none" w:sz="0" w:space="0" w:color="auto"/>
        <w:left w:val="none" w:sz="0" w:space="0" w:color="auto"/>
        <w:bottom w:val="none" w:sz="0" w:space="0" w:color="auto"/>
        <w:right w:val="none" w:sz="0" w:space="0" w:color="auto"/>
      </w:divBdr>
    </w:div>
    <w:div w:id="861820747">
      <w:bodyDiv w:val="1"/>
      <w:marLeft w:val="0"/>
      <w:marRight w:val="0"/>
      <w:marTop w:val="0"/>
      <w:marBottom w:val="0"/>
      <w:divBdr>
        <w:top w:val="none" w:sz="0" w:space="0" w:color="auto"/>
        <w:left w:val="none" w:sz="0" w:space="0" w:color="auto"/>
        <w:bottom w:val="none" w:sz="0" w:space="0" w:color="auto"/>
        <w:right w:val="none" w:sz="0" w:space="0" w:color="auto"/>
      </w:divBdr>
    </w:div>
    <w:div w:id="866679523">
      <w:bodyDiv w:val="1"/>
      <w:marLeft w:val="0"/>
      <w:marRight w:val="0"/>
      <w:marTop w:val="0"/>
      <w:marBottom w:val="0"/>
      <w:divBdr>
        <w:top w:val="none" w:sz="0" w:space="0" w:color="auto"/>
        <w:left w:val="none" w:sz="0" w:space="0" w:color="auto"/>
        <w:bottom w:val="none" w:sz="0" w:space="0" w:color="auto"/>
        <w:right w:val="none" w:sz="0" w:space="0" w:color="auto"/>
      </w:divBdr>
    </w:div>
    <w:div w:id="872496152">
      <w:bodyDiv w:val="1"/>
      <w:marLeft w:val="0"/>
      <w:marRight w:val="0"/>
      <w:marTop w:val="0"/>
      <w:marBottom w:val="0"/>
      <w:divBdr>
        <w:top w:val="none" w:sz="0" w:space="0" w:color="auto"/>
        <w:left w:val="none" w:sz="0" w:space="0" w:color="auto"/>
        <w:bottom w:val="none" w:sz="0" w:space="0" w:color="auto"/>
        <w:right w:val="none" w:sz="0" w:space="0" w:color="auto"/>
      </w:divBdr>
    </w:div>
    <w:div w:id="907495792">
      <w:bodyDiv w:val="1"/>
      <w:marLeft w:val="0"/>
      <w:marRight w:val="0"/>
      <w:marTop w:val="0"/>
      <w:marBottom w:val="0"/>
      <w:divBdr>
        <w:top w:val="none" w:sz="0" w:space="0" w:color="auto"/>
        <w:left w:val="none" w:sz="0" w:space="0" w:color="auto"/>
        <w:bottom w:val="none" w:sz="0" w:space="0" w:color="auto"/>
        <w:right w:val="none" w:sz="0" w:space="0" w:color="auto"/>
      </w:divBdr>
    </w:div>
    <w:div w:id="945191679">
      <w:bodyDiv w:val="1"/>
      <w:marLeft w:val="0"/>
      <w:marRight w:val="0"/>
      <w:marTop w:val="0"/>
      <w:marBottom w:val="0"/>
      <w:divBdr>
        <w:top w:val="none" w:sz="0" w:space="0" w:color="auto"/>
        <w:left w:val="none" w:sz="0" w:space="0" w:color="auto"/>
        <w:bottom w:val="none" w:sz="0" w:space="0" w:color="auto"/>
        <w:right w:val="none" w:sz="0" w:space="0" w:color="auto"/>
      </w:divBdr>
    </w:div>
    <w:div w:id="953904190">
      <w:bodyDiv w:val="1"/>
      <w:marLeft w:val="0"/>
      <w:marRight w:val="0"/>
      <w:marTop w:val="0"/>
      <w:marBottom w:val="0"/>
      <w:divBdr>
        <w:top w:val="none" w:sz="0" w:space="0" w:color="auto"/>
        <w:left w:val="none" w:sz="0" w:space="0" w:color="auto"/>
        <w:bottom w:val="none" w:sz="0" w:space="0" w:color="auto"/>
        <w:right w:val="none" w:sz="0" w:space="0" w:color="auto"/>
      </w:divBdr>
    </w:div>
    <w:div w:id="973100018">
      <w:bodyDiv w:val="1"/>
      <w:marLeft w:val="0"/>
      <w:marRight w:val="0"/>
      <w:marTop w:val="0"/>
      <w:marBottom w:val="0"/>
      <w:divBdr>
        <w:top w:val="none" w:sz="0" w:space="0" w:color="auto"/>
        <w:left w:val="none" w:sz="0" w:space="0" w:color="auto"/>
        <w:bottom w:val="none" w:sz="0" w:space="0" w:color="auto"/>
        <w:right w:val="none" w:sz="0" w:space="0" w:color="auto"/>
      </w:divBdr>
    </w:div>
    <w:div w:id="1013341072">
      <w:bodyDiv w:val="1"/>
      <w:marLeft w:val="0"/>
      <w:marRight w:val="0"/>
      <w:marTop w:val="0"/>
      <w:marBottom w:val="0"/>
      <w:divBdr>
        <w:top w:val="none" w:sz="0" w:space="0" w:color="auto"/>
        <w:left w:val="none" w:sz="0" w:space="0" w:color="auto"/>
        <w:bottom w:val="none" w:sz="0" w:space="0" w:color="auto"/>
        <w:right w:val="none" w:sz="0" w:space="0" w:color="auto"/>
      </w:divBdr>
    </w:div>
    <w:div w:id="1042755699">
      <w:bodyDiv w:val="1"/>
      <w:marLeft w:val="0"/>
      <w:marRight w:val="0"/>
      <w:marTop w:val="0"/>
      <w:marBottom w:val="0"/>
      <w:divBdr>
        <w:top w:val="none" w:sz="0" w:space="0" w:color="auto"/>
        <w:left w:val="none" w:sz="0" w:space="0" w:color="auto"/>
        <w:bottom w:val="none" w:sz="0" w:space="0" w:color="auto"/>
        <w:right w:val="none" w:sz="0" w:space="0" w:color="auto"/>
      </w:divBdr>
    </w:div>
    <w:div w:id="1153637892">
      <w:bodyDiv w:val="1"/>
      <w:marLeft w:val="0"/>
      <w:marRight w:val="0"/>
      <w:marTop w:val="0"/>
      <w:marBottom w:val="0"/>
      <w:divBdr>
        <w:top w:val="none" w:sz="0" w:space="0" w:color="auto"/>
        <w:left w:val="none" w:sz="0" w:space="0" w:color="auto"/>
        <w:bottom w:val="none" w:sz="0" w:space="0" w:color="auto"/>
        <w:right w:val="none" w:sz="0" w:space="0" w:color="auto"/>
      </w:divBdr>
    </w:div>
    <w:div w:id="1257859495">
      <w:bodyDiv w:val="1"/>
      <w:marLeft w:val="0"/>
      <w:marRight w:val="0"/>
      <w:marTop w:val="0"/>
      <w:marBottom w:val="0"/>
      <w:divBdr>
        <w:top w:val="none" w:sz="0" w:space="0" w:color="auto"/>
        <w:left w:val="none" w:sz="0" w:space="0" w:color="auto"/>
        <w:bottom w:val="none" w:sz="0" w:space="0" w:color="auto"/>
        <w:right w:val="none" w:sz="0" w:space="0" w:color="auto"/>
      </w:divBdr>
    </w:div>
    <w:div w:id="1281647398">
      <w:bodyDiv w:val="1"/>
      <w:marLeft w:val="0"/>
      <w:marRight w:val="0"/>
      <w:marTop w:val="0"/>
      <w:marBottom w:val="0"/>
      <w:divBdr>
        <w:top w:val="none" w:sz="0" w:space="0" w:color="auto"/>
        <w:left w:val="none" w:sz="0" w:space="0" w:color="auto"/>
        <w:bottom w:val="none" w:sz="0" w:space="0" w:color="auto"/>
        <w:right w:val="none" w:sz="0" w:space="0" w:color="auto"/>
      </w:divBdr>
    </w:div>
    <w:div w:id="1309214114">
      <w:bodyDiv w:val="1"/>
      <w:marLeft w:val="0"/>
      <w:marRight w:val="0"/>
      <w:marTop w:val="0"/>
      <w:marBottom w:val="0"/>
      <w:divBdr>
        <w:top w:val="none" w:sz="0" w:space="0" w:color="auto"/>
        <w:left w:val="none" w:sz="0" w:space="0" w:color="auto"/>
        <w:bottom w:val="none" w:sz="0" w:space="0" w:color="auto"/>
        <w:right w:val="none" w:sz="0" w:space="0" w:color="auto"/>
      </w:divBdr>
    </w:div>
    <w:div w:id="1360544252">
      <w:bodyDiv w:val="1"/>
      <w:marLeft w:val="0"/>
      <w:marRight w:val="0"/>
      <w:marTop w:val="0"/>
      <w:marBottom w:val="0"/>
      <w:divBdr>
        <w:top w:val="none" w:sz="0" w:space="0" w:color="auto"/>
        <w:left w:val="none" w:sz="0" w:space="0" w:color="auto"/>
        <w:bottom w:val="none" w:sz="0" w:space="0" w:color="auto"/>
        <w:right w:val="none" w:sz="0" w:space="0" w:color="auto"/>
      </w:divBdr>
    </w:div>
    <w:div w:id="1411077963">
      <w:bodyDiv w:val="1"/>
      <w:marLeft w:val="0"/>
      <w:marRight w:val="0"/>
      <w:marTop w:val="0"/>
      <w:marBottom w:val="0"/>
      <w:divBdr>
        <w:top w:val="none" w:sz="0" w:space="0" w:color="auto"/>
        <w:left w:val="none" w:sz="0" w:space="0" w:color="auto"/>
        <w:bottom w:val="none" w:sz="0" w:space="0" w:color="auto"/>
        <w:right w:val="none" w:sz="0" w:space="0" w:color="auto"/>
      </w:divBdr>
    </w:div>
    <w:div w:id="1449936357">
      <w:bodyDiv w:val="1"/>
      <w:marLeft w:val="0"/>
      <w:marRight w:val="0"/>
      <w:marTop w:val="0"/>
      <w:marBottom w:val="0"/>
      <w:divBdr>
        <w:top w:val="none" w:sz="0" w:space="0" w:color="auto"/>
        <w:left w:val="none" w:sz="0" w:space="0" w:color="auto"/>
        <w:bottom w:val="none" w:sz="0" w:space="0" w:color="auto"/>
        <w:right w:val="none" w:sz="0" w:space="0" w:color="auto"/>
      </w:divBdr>
    </w:div>
    <w:div w:id="1458177578">
      <w:bodyDiv w:val="1"/>
      <w:marLeft w:val="0"/>
      <w:marRight w:val="0"/>
      <w:marTop w:val="0"/>
      <w:marBottom w:val="0"/>
      <w:divBdr>
        <w:top w:val="none" w:sz="0" w:space="0" w:color="auto"/>
        <w:left w:val="none" w:sz="0" w:space="0" w:color="auto"/>
        <w:bottom w:val="none" w:sz="0" w:space="0" w:color="auto"/>
        <w:right w:val="none" w:sz="0" w:space="0" w:color="auto"/>
      </w:divBdr>
    </w:div>
    <w:div w:id="1501777838">
      <w:bodyDiv w:val="1"/>
      <w:marLeft w:val="0"/>
      <w:marRight w:val="0"/>
      <w:marTop w:val="0"/>
      <w:marBottom w:val="0"/>
      <w:divBdr>
        <w:top w:val="none" w:sz="0" w:space="0" w:color="auto"/>
        <w:left w:val="none" w:sz="0" w:space="0" w:color="auto"/>
        <w:bottom w:val="none" w:sz="0" w:space="0" w:color="auto"/>
        <w:right w:val="none" w:sz="0" w:space="0" w:color="auto"/>
      </w:divBdr>
    </w:div>
    <w:div w:id="1519851111">
      <w:bodyDiv w:val="1"/>
      <w:marLeft w:val="0"/>
      <w:marRight w:val="0"/>
      <w:marTop w:val="0"/>
      <w:marBottom w:val="0"/>
      <w:divBdr>
        <w:top w:val="none" w:sz="0" w:space="0" w:color="auto"/>
        <w:left w:val="none" w:sz="0" w:space="0" w:color="auto"/>
        <w:bottom w:val="none" w:sz="0" w:space="0" w:color="auto"/>
        <w:right w:val="none" w:sz="0" w:space="0" w:color="auto"/>
      </w:divBdr>
    </w:div>
    <w:div w:id="1565947172">
      <w:bodyDiv w:val="1"/>
      <w:marLeft w:val="0"/>
      <w:marRight w:val="0"/>
      <w:marTop w:val="0"/>
      <w:marBottom w:val="0"/>
      <w:divBdr>
        <w:top w:val="none" w:sz="0" w:space="0" w:color="auto"/>
        <w:left w:val="none" w:sz="0" w:space="0" w:color="auto"/>
        <w:bottom w:val="none" w:sz="0" w:space="0" w:color="auto"/>
        <w:right w:val="none" w:sz="0" w:space="0" w:color="auto"/>
      </w:divBdr>
    </w:div>
    <w:div w:id="1576546196">
      <w:bodyDiv w:val="1"/>
      <w:marLeft w:val="0"/>
      <w:marRight w:val="0"/>
      <w:marTop w:val="0"/>
      <w:marBottom w:val="0"/>
      <w:divBdr>
        <w:top w:val="none" w:sz="0" w:space="0" w:color="auto"/>
        <w:left w:val="none" w:sz="0" w:space="0" w:color="auto"/>
        <w:bottom w:val="none" w:sz="0" w:space="0" w:color="auto"/>
        <w:right w:val="none" w:sz="0" w:space="0" w:color="auto"/>
      </w:divBdr>
    </w:div>
    <w:div w:id="1598977105">
      <w:bodyDiv w:val="1"/>
      <w:marLeft w:val="0"/>
      <w:marRight w:val="0"/>
      <w:marTop w:val="0"/>
      <w:marBottom w:val="0"/>
      <w:divBdr>
        <w:top w:val="none" w:sz="0" w:space="0" w:color="auto"/>
        <w:left w:val="none" w:sz="0" w:space="0" w:color="auto"/>
        <w:bottom w:val="none" w:sz="0" w:space="0" w:color="auto"/>
        <w:right w:val="none" w:sz="0" w:space="0" w:color="auto"/>
      </w:divBdr>
    </w:div>
    <w:div w:id="1657101014">
      <w:bodyDiv w:val="1"/>
      <w:marLeft w:val="0"/>
      <w:marRight w:val="0"/>
      <w:marTop w:val="0"/>
      <w:marBottom w:val="0"/>
      <w:divBdr>
        <w:top w:val="none" w:sz="0" w:space="0" w:color="auto"/>
        <w:left w:val="none" w:sz="0" w:space="0" w:color="auto"/>
        <w:bottom w:val="none" w:sz="0" w:space="0" w:color="auto"/>
        <w:right w:val="none" w:sz="0" w:space="0" w:color="auto"/>
      </w:divBdr>
    </w:div>
    <w:div w:id="1723211819">
      <w:bodyDiv w:val="1"/>
      <w:marLeft w:val="0"/>
      <w:marRight w:val="0"/>
      <w:marTop w:val="0"/>
      <w:marBottom w:val="0"/>
      <w:divBdr>
        <w:top w:val="none" w:sz="0" w:space="0" w:color="auto"/>
        <w:left w:val="none" w:sz="0" w:space="0" w:color="auto"/>
        <w:bottom w:val="none" w:sz="0" w:space="0" w:color="auto"/>
        <w:right w:val="none" w:sz="0" w:space="0" w:color="auto"/>
      </w:divBdr>
    </w:div>
    <w:div w:id="1726681518">
      <w:bodyDiv w:val="1"/>
      <w:marLeft w:val="0"/>
      <w:marRight w:val="0"/>
      <w:marTop w:val="0"/>
      <w:marBottom w:val="0"/>
      <w:divBdr>
        <w:top w:val="none" w:sz="0" w:space="0" w:color="auto"/>
        <w:left w:val="none" w:sz="0" w:space="0" w:color="auto"/>
        <w:bottom w:val="none" w:sz="0" w:space="0" w:color="auto"/>
        <w:right w:val="none" w:sz="0" w:space="0" w:color="auto"/>
      </w:divBdr>
    </w:div>
    <w:div w:id="1759405551">
      <w:bodyDiv w:val="1"/>
      <w:marLeft w:val="0"/>
      <w:marRight w:val="0"/>
      <w:marTop w:val="0"/>
      <w:marBottom w:val="0"/>
      <w:divBdr>
        <w:top w:val="none" w:sz="0" w:space="0" w:color="auto"/>
        <w:left w:val="none" w:sz="0" w:space="0" w:color="auto"/>
        <w:bottom w:val="none" w:sz="0" w:space="0" w:color="auto"/>
        <w:right w:val="none" w:sz="0" w:space="0" w:color="auto"/>
      </w:divBdr>
    </w:div>
    <w:div w:id="1838225647">
      <w:bodyDiv w:val="1"/>
      <w:marLeft w:val="0"/>
      <w:marRight w:val="0"/>
      <w:marTop w:val="0"/>
      <w:marBottom w:val="0"/>
      <w:divBdr>
        <w:top w:val="none" w:sz="0" w:space="0" w:color="auto"/>
        <w:left w:val="none" w:sz="0" w:space="0" w:color="auto"/>
        <w:bottom w:val="none" w:sz="0" w:space="0" w:color="auto"/>
        <w:right w:val="none" w:sz="0" w:space="0" w:color="auto"/>
      </w:divBdr>
    </w:div>
    <w:div w:id="1858692714">
      <w:bodyDiv w:val="1"/>
      <w:marLeft w:val="0"/>
      <w:marRight w:val="0"/>
      <w:marTop w:val="0"/>
      <w:marBottom w:val="0"/>
      <w:divBdr>
        <w:top w:val="none" w:sz="0" w:space="0" w:color="auto"/>
        <w:left w:val="none" w:sz="0" w:space="0" w:color="auto"/>
        <w:bottom w:val="none" w:sz="0" w:space="0" w:color="auto"/>
        <w:right w:val="none" w:sz="0" w:space="0" w:color="auto"/>
      </w:divBdr>
    </w:div>
    <w:div w:id="1895189112">
      <w:bodyDiv w:val="1"/>
      <w:marLeft w:val="0"/>
      <w:marRight w:val="0"/>
      <w:marTop w:val="0"/>
      <w:marBottom w:val="0"/>
      <w:divBdr>
        <w:top w:val="none" w:sz="0" w:space="0" w:color="auto"/>
        <w:left w:val="none" w:sz="0" w:space="0" w:color="auto"/>
        <w:bottom w:val="none" w:sz="0" w:space="0" w:color="auto"/>
        <w:right w:val="none" w:sz="0" w:space="0" w:color="auto"/>
      </w:divBdr>
    </w:div>
    <w:div w:id="1951400613">
      <w:bodyDiv w:val="1"/>
      <w:marLeft w:val="0"/>
      <w:marRight w:val="0"/>
      <w:marTop w:val="0"/>
      <w:marBottom w:val="0"/>
      <w:divBdr>
        <w:top w:val="none" w:sz="0" w:space="0" w:color="auto"/>
        <w:left w:val="none" w:sz="0" w:space="0" w:color="auto"/>
        <w:bottom w:val="none" w:sz="0" w:space="0" w:color="auto"/>
        <w:right w:val="none" w:sz="0" w:space="0" w:color="auto"/>
      </w:divBdr>
    </w:div>
    <w:div w:id="1964067848">
      <w:bodyDiv w:val="1"/>
      <w:marLeft w:val="0"/>
      <w:marRight w:val="0"/>
      <w:marTop w:val="0"/>
      <w:marBottom w:val="0"/>
      <w:divBdr>
        <w:top w:val="none" w:sz="0" w:space="0" w:color="auto"/>
        <w:left w:val="none" w:sz="0" w:space="0" w:color="auto"/>
        <w:bottom w:val="none" w:sz="0" w:space="0" w:color="auto"/>
        <w:right w:val="none" w:sz="0" w:space="0" w:color="auto"/>
      </w:divBdr>
    </w:div>
    <w:div w:id="1975863843">
      <w:bodyDiv w:val="1"/>
      <w:marLeft w:val="0"/>
      <w:marRight w:val="0"/>
      <w:marTop w:val="0"/>
      <w:marBottom w:val="0"/>
      <w:divBdr>
        <w:top w:val="none" w:sz="0" w:space="0" w:color="auto"/>
        <w:left w:val="none" w:sz="0" w:space="0" w:color="auto"/>
        <w:bottom w:val="none" w:sz="0" w:space="0" w:color="auto"/>
        <w:right w:val="none" w:sz="0" w:space="0" w:color="auto"/>
      </w:divBdr>
    </w:div>
    <w:div w:id="1985887683">
      <w:bodyDiv w:val="1"/>
      <w:marLeft w:val="0"/>
      <w:marRight w:val="0"/>
      <w:marTop w:val="0"/>
      <w:marBottom w:val="0"/>
      <w:divBdr>
        <w:top w:val="none" w:sz="0" w:space="0" w:color="auto"/>
        <w:left w:val="none" w:sz="0" w:space="0" w:color="auto"/>
        <w:bottom w:val="none" w:sz="0" w:space="0" w:color="auto"/>
        <w:right w:val="none" w:sz="0" w:space="0" w:color="auto"/>
      </w:divBdr>
    </w:div>
    <w:div w:id="2004625464">
      <w:bodyDiv w:val="1"/>
      <w:marLeft w:val="0"/>
      <w:marRight w:val="0"/>
      <w:marTop w:val="0"/>
      <w:marBottom w:val="0"/>
      <w:divBdr>
        <w:top w:val="none" w:sz="0" w:space="0" w:color="auto"/>
        <w:left w:val="none" w:sz="0" w:space="0" w:color="auto"/>
        <w:bottom w:val="none" w:sz="0" w:space="0" w:color="auto"/>
        <w:right w:val="none" w:sz="0" w:space="0" w:color="auto"/>
      </w:divBdr>
    </w:div>
    <w:div w:id="2034264085">
      <w:bodyDiv w:val="1"/>
      <w:marLeft w:val="0"/>
      <w:marRight w:val="0"/>
      <w:marTop w:val="0"/>
      <w:marBottom w:val="0"/>
      <w:divBdr>
        <w:top w:val="none" w:sz="0" w:space="0" w:color="auto"/>
        <w:left w:val="none" w:sz="0" w:space="0" w:color="auto"/>
        <w:bottom w:val="none" w:sz="0" w:space="0" w:color="auto"/>
        <w:right w:val="none" w:sz="0" w:space="0" w:color="auto"/>
      </w:divBdr>
    </w:div>
    <w:div w:id="2040885845">
      <w:bodyDiv w:val="1"/>
      <w:marLeft w:val="0"/>
      <w:marRight w:val="0"/>
      <w:marTop w:val="0"/>
      <w:marBottom w:val="0"/>
      <w:divBdr>
        <w:top w:val="none" w:sz="0" w:space="0" w:color="auto"/>
        <w:left w:val="none" w:sz="0" w:space="0" w:color="auto"/>
        <w:bottom w:val="none" w:sz="0" w:space="0" w:color="auto"/>
        <w:right w:val="none" w:sz="0" w:space="0" w:color="auto"/>
      </w:divBdr>
    </w:div>
    <w:div w:id="20417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rzy.cz/zakony/155-1995-zakon-o-duchodovem-pojisteni/paragraf-6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kurzy.cz/zakony/155-1995-zakon-o-duchodovem-pojisteni/paragraf-67/"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A2DD-2831-47C5-B41F-2DB376B2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5544</Words>
  <Characters>32715</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Bidlová Eva (MPSV)</dc:creator>
  <cp:lastModifiedBy>Přib Jan JUDr., CSc. (MPSV)</cp:lastModifiedBy>
  <cp:revision>3</cp:revision>
  <cp:lastPrinted>2022-05-25T05:48:00Z</cp:lastPrinted>
  <dcterms:created xsi:type="dcterms:W3CDTF">2023-02-19T17:46:00Z</dcterms:created>
  <dcterms:modified xsi:type="dcterms:W3CDTF">2023-02-19T17:46:00Z</dcterms:modified>
</cp:coreProperties>
</file>